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5976495475381"/>
        <w:gridCol w:w="7171.914161476085"/>
        <w:tblGridChange w:id="0">
          <w:tblGrid>
            <w:gridCol w:w="1853.5976495475381"/>
            <w:gridCol w:w="7171.91416147608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2">
            <w:pPr>
              <w:rPr>
                <w:b w:val="1"/>
                <w:color w:val="161616"/>
                <w:sz w:val="24"/>
                <w:szCs w:val="24"/>
              </w:rPr>
            </w:pPr>
            <w:r w:rsidDel="00000000" w:rsidR="00000000" w:rsidRPr="00000000">
              <w:rPr>
                <w:b w:val="1"/>
                <w:color w:val="161616"/>
                <w:sz w:val="24"/>
                <w:szCs w:val="24"/>
                <w:rtl w:val="0"/>
              </w:rPr>
              <w:t xml:space="preserve">Use-case field</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3">
            <w:pPr>
              <w:rPr>
                <w:b w:val="1"/>
                <w:color w:val="161616"/>
                <w:sz w:val="24"/>
                <w:szCs w:val="24"/>
              </w:rPr>
            </w:pPr>
            <w:r w:rsidDel="00000000" w:rsidR="00000000" w:rsidRPr="00000000">
              <w:rPr>
                <w:b w:val="1"/>
                <w:color w:val="161616"/>
                <w:sz w:val="24"/>
                <w:szCs w:val="24"/>
                <w:rtl w:val="0"/>
              </w:rPr>
              <w:t xml:space="preserve">Description</w:t>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4">
            <w:pPr>
              <w:rPr>
                <w:color w:val="161616"/>
                <w:sz w:val="24"/>
                <w:szCs w:val="24"/>
              </w:rPr>
            </w:pPr>
            <w:r w:rsidDel="00000000" w:rsidR="00000000" w:rsidRPr="00000000">
              <w:rPr>
                <w:b w:val="1"/>
                <w:color w:val="525252"/>
                <w:sz w:val="24"/>
                <w:szCs w:val="24"/>
                <w:rtl w:val="0"/>
              </w:rPr>
              <w:t xml:space="preserve">Use case name</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5">
            <w:pPr>
              <w:rPr>
                <w:color w:val="161616"/>
                <w:sz w:val="24"/>
                <w:szCs w:val="24"/>
              </w:rPr>
            </w:pPr>
            <w:r w:rsidDel="00000000" w:rsidR="00000000" w:rsidRPr="00000000">
              <w:rPr>
                <w:color w:val="525252"/>
                <w:sz w:val="24"/>
                <w:szCs w:val="24"/>
                <w:rtl w:val="0"/>
              </w:rPr>
              <w:t xml:space="preserve">An active verb phrase that describes a particular task.</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6">
            <w:pPr>
              <w:rPr>
                <w:color w:val="161616"/>
                <w:sz w:val="24"/>
                <w:szCs w:val="24"/>
              </w:rPr>
            </w:pPr>
            <w:r w:rsidDel="00000000" w:rsidR="00000000" w:rsidRPr="00000000">
              <w:rPr>
                <w:b w:val="1"/>
                <w:color w:val="525252"/>
                <w:sz w:val="24"/>
                <w:szCs w:val="24"/>
                <w:rtl w:val="0"/>
              </w:rPr>
              <w:t xml:space="preserve">Subject area</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7">
            <w:pPr>
              <w:rPr>
                <w:color w:val="161616"/>
                <w:sz w:val="24"/>
                <w:szCs w:val="24"/>
              </w:rPr>
            </w:pPr>
            <w:r w:rsidDel="00000000" w:rsidR="00000000" w:rsidRPr="00000000">
              <w:rPr>
                <w:color w:val="525252"/>
                <w:sz w:val="24"/>
                <w:szCs w:val="24"/>
                <w:rtl w:val="0"/>
              </w:rPr>
              <w:t xml:space="preserve">A use role or other grouping mechanism that can be used to group use cases.</w:t>
            </w:r>
            <w:r w:rsidDel="00000000" w:rsidR="00000000" w:rsidRPr="00000000">
              <w:rPr>
                <w:rtl w:val="0"/>
              </w:rPr>
            </w:r>
          </w:p>
        </w:tc>
      </w:tr>
      <w:tr>
        <w:trPr>
          <w:cantSplit w:val="0"/>
          <w:trHeight w:val="735"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8">
            <w:pPr>
              <w:rPr>
                <w:color w:val="161616"/>
                <w:sz w:val="24"/>
                <w:szCs w:val="24"/>
              </w:rPr>
            </w:pPr>
            <w:r w:rsidDel="00000000" w:rsidR="00000000" w:rsidRPr="00000000">
              <w:rPr>
                <w:b w:val="1"/>
                <w:color w:val="525252"/>
                <w:sz w:val="24"/>
                <w:szCs w:val="24"/>
                <w:rtl w:val="0"/>
              </w:rPr>
              <w:t xml:space="preserve">Business event</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9">
            <w:pPr>
              <w:rPr>
                <w:color w:val="161616"/>
                <w:sz w:val="24"/>
                <w:szCs w:val="24"/>
              </w:rPr>
            </w:pPr>
            <w:r w:rsidDel="00000000" w:rsidR="00000000" w:rsidRPr="00000000">
              <w:rPr>
                <w:color w:val="525252"/>
                <w:sz w:val="24"/>
                <w:szCs w:val="24"/>
                <w:rtl w:val="0"/>
              </w:rPr>
              <w:t xml:space="preserve">A trigger that stimulates activity within the business. Many business events occur at the interface point between the business and one of the external entities with which it interacts. Business events must be observable.</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A">
            <w:pPr>
              <w:rPr>
                <w:color w:val="161616"/>
                <w:sz w:val="24"/>
                <w:szCs w:val="24"/>
              </w:rPr>
            </w:pPr>
            <w:r w:rsidDel="00000000" w:rsidR="00000000" w:rsidRPr="00000000">
              <w:rPr>
                <w:b w:val="1"/>
                <w:color w:val="525252"/>
                <w:sz w:val="24"/>
                <w:szCs w:val="24"/>
                <w:rtl w:val="0"/>
              </w:rPr>
              <w:t xml:space="preserve">Actors</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B">
            <w:pPr>
              <w:rPr>
                <w:color w:val="161616"/>
                <w:sz w:val="24"/>
                <w:szCs w:val="24"/>
              </w:rPr>
            </w:pPr>
            <w:r w:rsidDel="00000000" w:rsidR="00000000" w:rsidRPr="00000000">
              <w:rPr>
                <w:color w:val="525252"/>
                <w:sz w:val="24"/>
                <w:szCs w:val="24"/>
                <w:rtl w:val="0"/>
              </w:rPr>
              <w:t xml:space="preserve">The actor that initiates this use case and all users who participate in this use case.</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C">
            <w:pPr>
              <w:rPr>
                <w:color w:val="161616"/>
                <w:sz w:val="24"/>
                <w:szCs w:val="24"/>
              </w:rPr>
            </w:pPr>
            <w:r w:rsidDel="00000000" w:rsidR="00000000" w:rsidRPr="00000000">
              <w:rPr>
                <w:b w:val="1"/>
                <w:color w:val="525252"/>
                <w:sz w:val="24"/>
                <w:szCs w:val="24"/>
                <w:rtl w:val="0"/>
              </w:rPr>
              <w:t xml:space="preserve">Use case overview</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D">
            <w:pPr>
              <w:rPr>
                <w:color w:val="161616"/>
                <w:sz w:val="24"/>
                <w:szCs w:val="24"/>
              </w:rPr>
            </w:pPr>
            <w:r w:rsidDel="00000000" w:rsidR="00000000" w:rsidRPr="00000000">
              <w:rPr>
                <w:color w:val="525252"/>
                <w:sz w:val="24"/>
                <w:szCs w:val="24"/>
                <w:rtl w:val="0"/>
              </w:rPr>
              <w:t xml:space="preserve">A description of the overall scope and content of the use case.</w:t>
            </w:r>
            <w:r w:rsidDel="00000000" w:rsidR="00000000" w:rsidRPr="00000000">
              <w:rPr>
                <w:rtl w:val="0"/>
              </w:rPr>
            </w:r>
          </w:p>
        </w:tc>
      </w:tr>
      <w:tr>
        <w:trPr>
          <w:cantSplit w:val="0"/>
          <w:trHeight w:val="1095"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E">
            <w:pPr>
              <w:rPr>
                <w:color w:val="161616"/>
                <w:sz w:val="24"/>
                <w:szCs w:val="24"/>
              </w:rPr>
            </w:pPr>
            <w:r w:rsidDel="00000000" w:rsidR="00000000" w:rsidRPr="00000000">
              <w:rPr>
                <w:b w:val="1"/>
                <w:color w:val="525252"/>
                <w:sz w:val="24"/>
                <w:szCs w:val="24"/>
                <w:rtl w:val="0"/>
              </w:rPr>
              <w:t xml:space="preserve">Preconditions</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0F">
            <w:pPr>
              <w:rPr>
                <w:color w:val="161616"/>
                <w:sz w:val="24"/>
                <w:szCs w:val="24"/>
              </w:rPr>
            </w:pPr>
            <w:r w:rsidDel="00000000" w:rsidR="00000000" w:rsidRPr="00000000">
              <w:rPr>
                <w:color w:val="525252"/>
                <w:sz w:val="24"/>
                <w:szCs w:val="24"/>
                <w:rtl w:val="0"/>
              </w:rPr>
              <w:t xml:space="preserve">Constraints that must be met for the use case to be taken by the solution developer and used to create a workflow. This might include a required sequencing of use cases. For example, one or more other use cases might need to be performed successfully for this use case to begin.</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0">
            <w:pPr>
              <w:rPr>
                <w:color w:val="161616"/>
                <w:sz w:val="24"/>
                <w:szCs w:val="24"/>
              </w:rPr>
            </w:pPr>
            <w:r w:rsidDel="00000000" w:rsidR="00000000" w:rsidRPr="00000000">
              <w:rPr>
                <w:b w:val="1"/>
                <w:color w:val="525252"/>
                <w:sz w:val="24"/>
                <w:szCs w:val="24"/>
                <w:rtl w:val="0"/>
              </w:rPr>
              <w:t xml:space="preserve">Termination outcome</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1">
            <w:pPr>
              <w:rPr>
                <w:color w:val="161616"/>
                <w:sz w:val="24"/>
                <w:szCs w:val="24"/>
              </w:rPr>
            </w:pPr>
            <w:r w:rsidDel="00000000" w:rsidR="00000000" w:rsidRPr="00000000">
              <w:rPr>
                <w:color w:val="525252"/>
                <w:sz w:val="24"/>
                <w:szCs w:val="24"/>
                <w:rtl w:val="0"/>
              </w:rPr>
              <w:t xml:space="preserve">A list of the successful and unsuccessful ways this use case might end. What are the possible ending results?</w:t>
            </w:r>
            <w:r w:rsidDel="00000000" w:rsidR="00000000" w:rsidRPr="00000000">
              <w:rPr>
                <w:rtl w:val="0"/>
              </w:rPr>
            </w:r>
          </w:p>
        </w:tc>
      </w:tr>
      <w:tr>
        <w:trPr>
          <w:cantSplit w:val="0"/>
          <w:trHeight w:val="735"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2">
            <w:pPr>
              <w:rPr>
                <w:color w:val="161616"/>
                <w:sz w:val="24"/>
                <w:szCs w:val="24"/>
              </w:rPr>
            </w:pPr>
            <w:r w:rsidDel="00000000" w:rsidR="00000000" w:rsidRPr="00000000">
              <w:rPr>
                <w:b w:val="1"/>
                <w:color w:val="525252"/>
                <w:sz w:val="24"/>
                <w:szCs w:val="24"/>
                <w:rtl w:val="0"/>
              </w:rPr>
              <w:t xml:space="preserve">Condition affecting termination outcome</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3">
            <w:pPr>
              <w:rPr>
                <w:color w:val="161616"/>
                <w:sz w:val="24"/>
                <w:szCs w:val="24"/>
              </w:rPr>
            </w:pPr>
            <w:r w:rsidDel="00000000" w:rsidR="00000000" w:rsidRPr="00000000">
              <w:rPr>
                <w:color w:val="525252"/>
                <w:sz w:val="24"/>
                <w:szCs w:val="24"/>
                <w:rtl w:val="0"/>
              </w:rPr>
              <w:t xml:space="preserve">A list of the conditions under which the corresponding termination outcome occurs.</w:t>
            </w:r>
            <w:r w:rsidDel="00000000" w:rsidR="00000000" w:rsidRPr="00000000">
              <w:rPr>
                <w:rtl w:val="0"/>
              </w:rPr>
            </w:r>
          </w:p>
        </w:tc>
      </w:tr>
      <w:tr>
        <w:trPr>
          <w:cantSplit w:val="0"/>
          <w:trHeight w:val="735"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4">
            <w:pPr>
              <w:rPr>
                <w:color w:val="161616"/>
                <w:sz w:val="24"/>
                <w:szCs w:val="24"/>
              </w:rPr>
            </w:pPr>
            <w:r w:rsidDel="00000000" w:rsidR="00000000" w:rsidRPr="00000000">
              <w:rPr>
                <w:b w:val="1"/>
                <w:color w:val="525252"/>
                <w:sz w:val="24"/>
                <w:szCs w:val="24"/>
                <w:rtl w:val="0"/>
              </w:rPr>
              <w:t xml:space="preserve">Use case description</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5">
            <w:pPr>
              <w:rPr>
                <w:color w:val="161616"/>
                <w:sz w:val="24"/>
                <w:szCs w:val="24"/>
              </w:rPr>
            </w:pPr>
            <w:r w:rsidDel="00000000" w:rsidR="00000000" w:rsidRPr="00000000">
              <w:rPr>
                <w:color w:val="525252"/>
                <w:sz w:val="24"/>
                <w:szCs w:val="24"/>
                <w:rtl w:val="0"/>
              </w:rPr>
              <w:t xml:space="preserve">A brief description of events for the most likely termination outcome. List the actions the actor does and how the system responds.</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6">
            <w:pPr>
              <w:rPr>
                <w:color w:val="161616"/>
                <w:sz w:val="24"/>
                <w:szCs w:val="24"/>
              </w:rPr>
            </w:pPr>
            <w:r w:rsidDel="00000000" w:rsidR="00000000" w:rsidRPr="00000000">
              <w:rPr>
                <w:b w:val="1"/>
                <w:color w:val="525252"/>
                <w:sz w:val="24"/>
                <w:szCs w:val="24"/>
                <w:rtl w:val="0"/>
              </w:rPr>
              <w:t xml:space="preserve">Use case associations</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7">
            <w:pPr>
              <w:rPr>
                <w:color w:val="161616"/>
                <w:sz w:val="24"/>
                <w:szCs w:val="24"/>
              </w:rPr>
            </w:pPr>
            <w:r w:rsidDel="00000000" w:rsidR="00000000" w:rsidRPr="00000000">
              <w:rPr>
                <w:color w:val="525252"/>
                <w:sz w:val="24"/>
                <w:szCs w:val="24"/>
                <w:rtl w:val="0"/>
              </w:rPr>
              <w:t xml:space="preserve">A list of other use cases that are associated with this use case.</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8">
            <w:pPr>
              <w:rPr>
                <w:color w:val="161616"/>
                <w:sz w:val="24"/>
                <w:szCs w:val="24"/>
              </w:rPr>
            </w:pPr>
            <w:r w:rsidDel="00000000" w:rsidR="00000000" w:rsidRPr="00000000">
              <w:rPr>
                <w:b w:val="1"/>
                <w:color w:val="525252"/>
                <w:sz w:val="24"/>
                <w:szCs w:val="24"/>
                <w:rtl w:val="0"/>
              </w:rPr>
              <w:t xml:space="preserve">Traceability to</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9">
            <w:pPr>
              <w:rPr>
                <w:color w:val="161616"/>
                <w:sz w:val="24"/>
                <w:szCs w:val="24"/>
              </w:rPr>
            </w:pPr>
            <w:r w:rsidDel="00000000" w:rsidR="00000000" w:rsidRPr="00000000">
              <w:rPr>
                <w:color w:val="525252"/>
                <w:sz w:val="24"/>
                <w:szCs w:val="24"/>
                <w:rtl w:val="0"/>
              </w:rPr>
              <w:t xml:space="preserve">A list of other related documents, models, and products that are associated with this use case.</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A">
            <w:pPr>
              <w:rPr>
                <w:color w:val="161616"/>
                <w:sz w:val="24"/>
                <w:szCs w:val="24"/>
              </w:rPr>
            </w:pPr>
            <w:r w:rsidDel="00000000" w:rsidR="00000000" w:rsidRPr="00000000">
              <w:rPr>
                <w:b w:val="1"/>
                <w:color w:val="525252"/>
                <w:sz w:val="24"/>
                <w:szCs w:val="24"/>
                <w:rtl w:val="0"/>
              </w:rPr>
              <w:t xml:space="preserve">Input summary</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B">
            <w:pPr>
              <w:rPr>
                <w:color w:val="161616"/>
                <w:sz w:val="24"/>
                <w:szCs w:val="24"/>
              </w:rPr>
            </w:pPr>
            <w:r w:rsidDel="00000000" w:rsidR="00000000" w:rsidRPr="00000000">
              <w:rPr>
                <w:color w:val="525252"/>
                <w:sz w:val="24"/>
                <w:szCs w:val="24"/>
                <w:rtl w:val="0"/>
              </w:rPr>
              <w:t xml:space="preserve">A brief summary that lists the data input by the actor.</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C">
            <w:pPr>
              <w:rPr>
                <w:color w:val="161616"/>
                <w:sz w:val="24"/>
                <w:szCs w:val="24"/>
              </w:rPr>
            </w:pPr>
            <w:r w:rsidDel="00000000" w:rsidR="00000000" w:rsidRPr="00000000">
              <w:rPr>
                <w:b w:val="1"/>
                <w:color w:val="525252"/>
                <w:sz w:val="24"/>
                <w:szCs w:val="24"/>
                <w:rtl w:val="0"/>
              </w:rPr>
              <w:t xml:space="preserve">Output summary</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D">
            <w:pPr>
              <w:rPr>
                <w:color w:val="161616"/>
                <w:sz w:val="24"/>
                <w:szCs w:val="24"/>
              </w:rPr>
            </w:pPr>
            <w:r w:rsidDel="00000000" w:rsidR="00000000" w:rsidRPr="00000000">
              <w:rPr>
                <w:color w:val="525252"/>
                <w:sz w:val="24"/>
                <w:szCs w:val="24"/>
                <w:rtl w:val="0"/>
              </w:rPr>
              <w:t xml:space="preserve">A brief summary that lists the data output by the system.</w:t>
            </w:r>
            <w:r w:rsidDel="00000000" w:rsidR="00000000" w:rsidRPr="00000000">
              <w:rPr>
                <w:rtl w:val="0"/>
              </w:rPr>
            </w:r>
          </w:p>
        </w:tc>
      </w:tr>
      <w:tr>
        <w:trPr>
          <w:cantSplit w:val="0"/>
          <w:trHeight w:val="720" w:hRule="atLeast"/>
          <w:tblHeader w:val="0"/>
        </w:trPr>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E">
            <w:pPr>
              <w:rPr>
                <w:color w:val="161616"/>
                <w:sz w:val="24"/>
                <w:szCs w:val="24"/>
              </w:rPr>
            </w:pPr>
            <w:r w:rsidDel="00000000" w:rsidR="00000000" w:rsidRPr="00000000">
              <w:rPr>
                <w:b w:val="1"/>
                <w:color w:val="525252"/>
                <w:sz w:val="24"/>
                <w:szCs w:val="24"/>
                <w:rtl w:val="0"/>
              </w:rPr>
              <w:t xml:space="preserve">Usability index</w:t>
            </w:r>
            <w:r w:rsidDel="00000000" w:rsidR="00000000" w:rsidRPr="00000000">
              <w:rPr>
                <w:rtl w:val="0"/>
              </w:rPr>
            </w:r>
          </w:p>
        </w:tc>
        <w:tc>
          <w:tcPr>
            <w:tcBorders>
              <w:top w:color="f4f4f4" w:space="0" w:sz="3" w:val="single"/>
              <w:left w:color="000000" w:space="0" w:sz="0" w:val="nil"/>
              <w:bottom w:color="e0e0e0"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1F">
            <w:pPr>
              <w:rPr>
                <w:color w:val="161616"/>
                <w:sz w:val="24"/>
                <w:szCs w:val="24"/>
              </w:rPr>
            </w:pPr>
            <w:r w:rsidDel="00000000" w:rsidR="00000000" w:rsidRPr="00000000">
              <w:rPr>
                <w:color w:val="525252"/>
                <w:sz w:val="24"/>
                <w:szCs w:val="24"/>
                <w:rtl w:val="0"/>
              </w:rPr>
              <w:t xml:space="preserve">A number based on how this use case ranked in terms of satisfaction, importance, and frequency.</w:t>
            </w:r>
            <w:r w:rsidDel="00000000" w:rsidR="00000000" w:rsidRPr="00000000">
              <w:rPr>
                <w:rtl w:val="0"/>
              </w:rPr>
            </w:r>
          </w:p>
        </w:tc>
      </w:tr>
      <w:tr>
        <w:trPr>
          <w:cantSplit w:val="0"/>
          <w:trHeight w:val="735" w:hRule="atLeast"/>
          <w:tblHeader w:val="0"/>
        </w:trPr>
        <w:tc>
          <w:tcPr>
            <w:tcBorders>
              <w:top w:color="e5e5e5" w:space="0" w:sz="3" w:val="single"/>
              <w:left w:color="000000" w:space="0" w:sz="0" w:val="nil"/>
              <w:bottom w:color="e5e5e5"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20">
            <w:pPr>
              <w:rPr>
                <w:color w:val="161616"/>
                <w:sz w:val="24"/>
                <w:szCs w:val="24"/>
              </w:rPr>
            </w:pPr>
            <w:r w:rsidDel="00000000" w:rsidR="00000000" w:rsidRPr="00000000">
              <w:rPr>
                <w:b w:val="1"/>
                <w:color w:val="161616"/>
                <w:sz w:val="24"/>
                <w:szCs w:val="24"/>
                <w:rtl w:val="0"/>
              </w:rPr>
              <w:t xml:space="preserve">Use case notes</w:t>
            </w:r>
            <w:r w:rsidDel="00000000" w:rsidR="00000000" w:rsidRPr="00000000">
              <w:rPr>
                <w:rtl w:val="0"/>
              </w:rPr>
            </w:r>
          </w:p>
        </w:tc>
        <w:tc>
          <w:tcPr>
            <w:tcBorders>
              <w:top w:color="e5e5e5" w:space="0" w:sz="3" w:val="single"/>
              <w:left w:color="000000" w:space="0" w:sz="0" w:val="nil"/>
              <w:bottom w:color="e5e5e5" w:space="0" w:sz="3" w:val="single"/>
              <w:right w:color="000000" w:space="0" w:sz="0" w:val="nil"/>
            </w:tcBorders>
            <w:tcMar>
              <w:top w:w="0.0" w:type="dxa"/>
              <w:left w:w="100.0" w:type="dxa"/>
              <w:bottom w:w="0.0" w:type="dxa"/>
              <w:right w:w="100.0" w:type="dxa"/>
            </w:tcMar>
            <w:vAlign w:val="center"/>
          </w:tcPr>
          <w:p w:rsidR="00000000" w:rsidDel="00000000" w:rsidP="00000000" w:rsidRDefault="00000000" w:rsidRPr="00000000" w14:paraId="00000021">
            <w:pPr>
              <w:rPr>
                <w:color w:val="161616"/>
                <w:sz w:val="24"/>
                <w:szCs w:val="24"/>
              </w:rPr>
            </w:pPr>
            <w:r w:rsidDel="00000000" w:rsidR="00000000" w:rsidRPr="00000000">
              <w:rPr>
                <w:color w:val="161616"/>
                <w:sz w:val="24"/>
                <w:szCs w:val="24"/>
                <w:rtl w:val="0"/>
              </w:rPr>
              <w:t xml:space="preserve">Information that is not directly part of this use case but that the solution developer needs to be aware of while working on the workflow.</w:t>
            </w:r>
          </w:p>
        </w:tc>
      </w:tr>
    </w:tbl>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