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and Purchase Approval Policy</w:t>
      </w:r>
    </w:p>
    <w:p>
      <w:r>
        <w:t>Owner: Finance. This policy applies to all purchases of goods and services.</w:t>
      </w:r>
    </w:p>
    <w:p>
      <w:pPr>
        <w:pStyle w:val="Heading1"/>
      </w:pPr>
      <w:r>
        <w:t>Approval Thresholds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Purchase value</w:t>
            </w:r>
          </w:p>
        </w:tc>
        <w:tc>
          <w:tcPr>
            <w:tcW w:type="dxa" w:w="4320"/>
          </w:tcPr>
          <w:p>
            <w:r>
              <w:t>Required approval</w:t>
            </w:r>
          </w:p>
        </w:tc>
      </w:tr>
      <w:tr>
        <w:tc>
          <w:tcPr>
            <w:tcW w:type="dxa" w:w="4320"/>
          </w:tcPr>
          <w:p>
            <w:r>
              <w:t>Up to 50,000 rupees</w:t>
            </w:r>
          </w:p>
        </w:tc>
        <w:tc>
          <w:tcPr>
            <w:tcW w:type="dxa" w:w="4320"/>
          </w:tcPr>
          <w:p>
            <w:r>
              <w:t>Line manager</w:t>
            </w:r>
          </w:p>
        </w:tc>
      </w:tr>
      <w:tr>
        <w:tc>
          <w:tcPr>
            <w:tcW w:type="dxa" w:w="4320"/>
          </w:tcPr>
          <w:p>
            <w:r>
              <w:t>50,001 to 5,00,000 rupees</w:t>
            </w:r>
          </w:p>
        </w:tc>
        <w:tc>
          <w:tcPr>
            <w:tcW w:type="dxa" w:w="4320"/>
          </w:tcPr>
          <w:p>
            <w:r>
              <w:t>Department head and Finance business partner</w:t>
            </w:r>
          </w:p>
        </w:tc>
      </w:tr>
      <w:tr>
        <w:tc>
          <w:tcPr>
            <w:tcW w:type="dxa" w:w="4320"/>
          </w:tcPr>
          <w:p>
            <w:r>
              <w:t>Above 5,00,000 rupees</w:t>
            </w:r>
          </w:p>
        </w:tc>
        <w:tc>
          <w:tcPr>
            <w:tcW w:type="dxa" w:w="4320"/>
          </w:tcPr>
          <w:p>
            <w:r>
              <w:t>CFO approval and three competing vendor quotes</w:t>
            </w:r>
          </w:p>
        </w:tc>
      </w:tr>
    </w:tbl>
    <w:p>
      <w:pPr>
        <w:pStyle w:val="Heading1"/>
      </w:pPr>
      <w:r>
        <w:t>Corporate Cards</w:t>
      </w:r>
    </w:p>
    <w:p>
      <w:r>
        <w:t>Corporate cards have a monthly limit of 1,00,000 rupees. Card statements must be reconciled in the expense system by the 5th working day of the following month.</w:t>
      </w:r>
    </w:p>
    <w:p>
      <w:pPr>
        <w:pStyle w:val="Heading1"/>
      </w:pPr>
      <w:r>
        <w:t>Reimbursement</w:t>
      </w:r>
    </w:p>
    <w:p>
      <w:r>
        <w:t>Approved expense claims are reimbursed within 10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and Purchase Approval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