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VoltRelay Energy – Data Analytics Hackathon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bookmarkStart w:colFirst="0" w:colLast="0" w:name="_sazbpppptyou" w:id="0"/>
      <w:bookmarkEnd w:id="0"/>
      <w:r w:rsidDel="00000000" w:rsidR="00000000" w:rsidRPr="00000000">
        <w:rPr>
          <w:rtl w:val="0"/>
        </w:rPr>
        <w:t xml:space="preserve">VoltRelay Energy</w:t>
      </w:r>
    </w:p>
    <w:p w:rsidR="00000000" w:rsidDel="00000000" w:rsidP="00000000" w:rsidRDefault="00000000" w:rsidRPr="00000000" w14:paraId="00000004">
      <w:pPr>
        <w:pStyle w:val="Heading1"/>
        <w:rPr/>
      </w:pPr>
      <w:bookmarkStart w:colFirst="0" w:colLast="0" w:name="_fpabduqenzei" w:id="1"/>
      <w:bookmarkEnd w:id="1"/>
      <w:r w:rsidDel="00000000" w:rsidR="00000000" w:rsidRPr="00000000">
        <w:rPr>
          <w:rtl w:val="0"/>
        </w:rPr>
        <w:t xml:space="preserve">Operational Performance, Service Quality &amp; Rider Retention Analysis</w:t>
      </w:r>
    </w:p>
    <w:p w:rsidR="00000000" w:rsidDel="00000000" w:rsidP="00000000" w:rsidRDefault="00000000" w:rsidRPr="00000000" w14:paraId="00000005">
      <w:pPr>
        <w:rPr/>
      </w:pPr>
      <w:r w:rsidDel="00000000" w:rsidR="00000000" w:rsidRPr="00000000">
        <w:rPr>
          <w:b w:val="1"/>
          <w:bCs w:val="1"/>
          <w:rtl w:val="0"/>
        </w:rPr>
        <w:t xml:space="preserve">Prepared by:</w:t>
      </w:r>
      <w:r w:rsidDel="00000000" w:rsidR="00000000" w:rsidRPr="00000000">
        <w:rPr>
          <w:rtl w:val="0"/>
        </w:rPr>
        <w:t xml:space="preserve"> Raja Mandal</w:t>
        <w:br w:type="textWrapping"/>
      </w:r>
      <w:r w:rsidDel="00000000" w:rsidR="00000000" w:rsidRPr="00000000">
        <w:rPr>
          <w:b w:val="1"/>
          <w:bCs w:val="1"/>
          <w:rtl w:val="0"/>
        </w:rPr>
        <w:t xml:space="preserve">Analysis Period:</w:t>
      </w:r>
      <w:r w:rsidDel="00000000" w:rsidR="00000000" w:rsidRPr="00000000">
        <w:rPr>
          <w:rtl w:val="0"/>
        </w:rPr>
        <w:t xml:space="preserve"> January 2024 – June 2025</w:t>
      </w:r>
    </w:p>
    <w:p w:rsidR="00000000" w:rsidDel="00000000" w:rsidP="00000000" w:rsidRDefault="00000000" w:rsidRPr="00000000" w14:paraId="00000006">
      <w:pPr>
        <w:pStyle w:val="Title"/>
        <w:rPr/>
      </w:pPr>
      <w:bookmarkStart w:colFirst="0" w:colLast="0" w:name="_azf03in9uweb" w:id="2"/>
      <w:bookmarkEnd w:id="2"/>
      <w:r w:rsidDel="00000000" w:rsidR="00000000" w:rsidRPr="00000000">
        <w:rPr>
          <w:rtl w:val="0"/>
        </w:rPr>
        <w:t xml:space="preserve">1. EXECUTIVE SUMMARY</w:t>
      </w:r>
    </w:p>
    <w:p w:rsidR="00000000" w:rsidDel="00000000" w:rsidP="00000000" w:rsidRDefault="00000000" w:rsidRPr="00000000" w14:paraId="00000007">
      <w:pPr>
        <w:rPr/>
      </w:pPr>
      <w:r w:rsidDel="00000000" w:rsidR="00000000" w:rsidRPr="00000000">
        <w:rPr>
          <w:rtl w:val="0"/>
        </w:rPr>
        <w:t xml:space="preserve">During the analysis period from January 2024 to June 2025, VoltRelay’s network demonstrated strong commercial growth. Monthly swap attempts increased significantly from 108,278 to 331,719, driving an increase in monthly revenue from approximately ₹6.20 million to ₹19.69 million. However, this aggressive scale-up coincided with a deterioration in service quality. The network completion rate declined from 95.59% in January 2024 to 91.40% in June 2025, with peak failure rates occurring during April–June 2024 and April–June 2025.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primary driver of unsuccessful swaps was a lack of charged batteries, representing 58.16% of all failed attempts. Operational challenges were not distributed evenly: 3W riders experienced a substantially higher unsuccessful rate (10.39%) than 2W riders (5.45%), and geographically, Jaipur (7.85%) and Delhi NCR (7.35%) recorded the highest city-level failure rates. Furthermore, older Gen1 chargers underperformed newer generations, posting a 7.23% unsuccessful rate compared to 4.85% for Gen2 and 4.84% for Gen3.</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Battery health (State of Health, or SOH) showed a strong association with the observed range. Batteries with an SOH below 80% averaged only 44.43 km between swaps, whereas batteries in the 95–100% band averaged 72.82 km. Among suppliers, Kyron batteries demonstrated lower average SOH and shorter distances between swaps compared to Amptek and Cellora.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Pricing and partner economics revealed that while the PEAK tariff yielded the highest revenue per completed swap (₹82.50), the PARTNER tier drove the largest transaction volume. From a customer experience standpoint, support tickets were heavily concentrated on missing battery availability (26.47%), low range (15.08%), and long queues (13.02%).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Monthly 30-day rider retention remained robust, generally holding above 98% among eligible cohorts. Nonetheless, early service friction showed an association with rider churn; riders who failed to return within 30 days experienced a higher initial unsuccessful-attempt rate (6.70% vs. 5.37%) and slightly longer average queue wait times (4.27 vs. 4.04 minutes) than retained riders.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Conclusion: VoltRelay is growing strongly in volume and revenue, but service reliability, battery availability, equipment health, and early rider experience require urgent attention to sustain network quality as it scales.</w:t>
      </w:r>
    </w:p>
    <w:p w:rsidR="00000000" w:rsidDel="00000000" w:rsidP="00000000" w:rsidRDefault="00000000" w:rsidRPr="00000000" w14:paraId="00000012">
      <w:pPr>
        <w:pStyle w:val="Title"/>
        <w:rPr/>
      </w:pPr>
      <w:bookmarkStart w:colFirst="0" w:colLast="0" w:name="_nnis4nwz364z" w:id="3"/>
      <w:bookmarkEnd w:id="3"/>
      <w:r w:rsidDel="00000000" w:rsidR="00000000" w:rsidRPr="00000000">
        <w:rPr>
          <w:rtl w:val="0"/>
        </w:rPr>
        <w:t xml:space="preserve">2. BUSINESS PROBLEM AND OBJECTIVES</w:t>
      </w:r>
    </w:p>
    <w:p w:rsidR="00000000" w:rsidDel="00000000" w:rsidP="00000000" w:rsidRDefault="00000000" w:rsidRPr="00000000" w14:paraId="00000013">
      <w:pPr>
        <w:rPr/>
      </w:pPr>
      <w:r w:rsidDel="00000000" w:rsidR="00000000" w:rsidRPr="00000000">
        <w:rPr>
          <w:rtl w:val="0"/>
        </w:rPr>
        <w:t xml:space="preserve">Business Context</w:t>
        <w:br w:type="textWrapping"/>
        <w:t xml:space="preserve">VoltRelay operates a rapidly expanding battery-swapping network for electric two-wheelers (2W) and three-wheelers (3W) across six Indian cities. As the business scales, leadership must understand whether operational growth is being achieved without compromising service quality, rider retention, and unit economics.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Objectives</w:t>
        <w:br w:type="textWrapping"/>
        <w:t xml:space="preserve">This analysis focuses on six core business objectives: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Evaluate network performance over time.</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Understand service failures and customer experience.</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Identify station and geographic performance patterns.</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Evaluate battery and equipment performance.</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Understand pricing and fleet-partner economics.</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Identify factors associated with rider retention and non-return.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i w:val="1"/>
          <w:iCs w:val="1"/>
          <w:rtl w:val="0"/>
        </w:rPr>
        <w:t xml:space="preserve">Note: This analysis is observational. It is intended to identify distinct associations and operational patterns across the network rather than prove direct causation.</w:t>
      </w:r>
      <w:r w:rsidDel="00000000" w:rsidR="00000000" w:rsidRPr="00000000">
        <w:rPr>
          <w:rtl w:val="0"/>
        </w:rPr>
      </w:r>
    </w:p>
    <w:p w:rsidR="00000000" w:rsidDel="00000000" w:rsidP="00000000" w:rsidRDefault="00000000" w:rsidRPr="00000000" w14:paraId="0000001F">
      <w:pPr>
        <w:pStyle w:val="Title"/>
        <w:rPr/>
      </w:pPr>
      <w:bookmarkStart w:colFirst="0" w:colLast="0" w:name="_6yunwx1v64cz" w:id="4"/>
      <w:bookmarkEnd w:id="4"/>
      <w:r w:rsidDel="00000000" w:rsidR="00000000" w:rsidRPr="00000000">
        <w:rPr>
          <w:rtl w:val="0"/>
        </w:rPr>
        <w:t xml:space="preserve">3. DATASET AND ANALYTICAL APPROACH</w:t>
      </w:r>
    </w:p>
    <w:p w:rsidR="00000000" w:rsidDel="00000000" w:rsidP="00000000" w:rsidRDefault="00000000" w:rsidRPr="00000000" w14:paraId="00000020">
      <w:pPr>
        <w:rPr/>
      </w:pPr>
      <w:r w:rsidDel="00000000" w:rsidR="00000000" w:rsidRPr="00000000">
        <w:rPr>
          <w:b w:val="1"/>
          <w:bCs w:val="1"/>
          <w:rtl w:val="0"/>
        </w:rPr>
        <w:t xml:space="preserve">Data Scope</w:t>
      </w:r>
      <w:r w:rsidDel="00000000" w:rsidR="00000000" w:rsidRPr="00000000">
        <w:rPr>
          <w:rtl w:val="0"/>
        </w:rPr>
        <w:br w:type="textWrapping"/>
        <w:t xml:space="preserve">The analysis utilized operational and customer data spanning January 2024 to June 2025, comprising: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~3.9 million swap events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20,000 riders</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6,500 batteries</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44,000 support tickets</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152 stations</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12 fleet partners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Tools Used</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Python (Pandas, NumPy) for data manipulation.</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Matplotlib and Seaborn for data visualization.</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Jupyter Notebook for exploratory and statistical analysis.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Analytical Approach</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Data loading and fundamental understanding.</w:t>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Comprehensive data-quality audit.</w:t>
      </w:r>
    </w:p>
    <w:p w:rsidR="00000000" w:rsidDel="00000000" w:rsidP="00000000" w:rsidRDefault="00000000" w:rsidRPr="00000000" w14:paraId="00000033">
      <w:pPr>
        <w:numPr>
          <w:ilvl w:val="0"/>
          <w:numId w:val="4"/>
        </w:numPr>
        <w:ind w:left="720" w:hanging="360"/>
      </w:pPr>
      <w:r w:rsidDel="00000000" w:rsidR="00000000" w:rsidRPr="00000000">
        <w:rPr>
          <w:rtl w:val="0"/>
        </w:rPr>
        <w:t xml:space="preserve">Cleaning and validation of data structures.</w:t>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Key Performance Indicator (KPI) calculation.</w:t>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Exploratory Data Analysis (EDA).</w:t>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Segment and time-based comparative analyses.</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Synthesis of business findings and actionable recommendations.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Key Data Quality Checks</w:t>
      </w:r>
      <w:r w:rsidDel="00000000" w:rsidR="00000000" w:rsidRPr="00000000">
        <w:rPr>
          <w:rtl w:val="0"/>
        </w:rPr>
        <w:br w:type="textWrapping"/>
        <w:t xml:space="preserve">To ensure the integrity of the findings, several strict data validation steps were implemented, including: city-name standardization; timestamp correction for a previously documented firmware issue; handling of negative or invalid distances; State of Charge (SOC) validation; exclusion of internal test-stations; verification of station/rider relationships; and near-duplicate event checking.</w:t>
      </w:r>
    </w:p>
    <w:p w:rsidR="00000000" w:rsidDel="00000000" w:rsidP="00000000" w:rsidRDefault="00000000" w:rsidRPr="00000000" w14:paraId="0000003A">
      <w:pPr>
        <w:pStyle w:val="Title"/>
        <w:rPr/>
      </w:pPr>
      <w:bookmarkStart w:colFirst="0" w:colLast="0" w:name="_ksqub32ot837" w:id="5"/>
      <w:bookmarkEnd w:id="5"/>
      <w:r w:rsidDel="00000000" w:rsidR="00000000" w:rsidRPr="00000000">
        <w:rPr>
          <w:rtl w:val="0"/>
        </w:rPr>
        <w:t xml:space="preserve">4. KEY FINDINGS</w:t>
      </w:r>
    </w:p>
    <w:p w:rsidR="00000000" w:rsidDel="00000000" w:rsidP="00000000" w:rsidRDefault="00000000" w:rsidRPr="00000000" w14:paraId="0000003B">
      <w:pPr>
        <w:pStyle w:val="Heading1"/>
        <w:rPr/>
      </w:pPr>
      <w:bookmarkStart w:colFirst="0" w:colLast="0" w:name="_fmey8xqmye3o" w:id="6"/>
      <w:bookmarkEnd w:id="6"/>
      <w:r w:rsidDel="00000000" w:rsidR="00000000" w:rsidRPr="00000000">
        <w:rPr>
          <w:rtl w:val="0"/>
        </w:rPr>
        <w:t xml:space="preserve">4.1 NETWORK PERFORMANCE OVER TIME</w:t>
      </w:r>
    </w:p>
    <w:p w:rsidR="00000000" w:rsidDel="00000000" w:rsidP="00000000" w:rsidRDefault="00000000" w:rsidRPr="00000000" w14:paraId="0000003C">
      <w:pPr>
        <w:rPr/>
      </w:pPr>
      <w:r w:rsidDel="00000000" w:rsidR="00000000" w:rsidRPr="00000000">
        <w:rPr>
          <w:rtl w:val="0"/>
        </w:rPr>
        <w:t xml:space="preserve">The network underwent massive expansion during the 18-month period, but this growth strained overall operational reliability.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Transaction Volume:</w:t>
      </w:r>
      <w:r w:rsidDel="00000000" w:rsidR="00000000" w:rsidRPr="00000000">
        <w:rPr>
          <w:rtl w:val="0"/>
        </w:rPr>
        <w:t xml:space="preserve"> Swap activity tripled, rising from 108,278 attempts in January 2024 to 331,719 attempts in June 2025.</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Revenue Growth:</w:t>
      </w:r>
      <w:r w:rsidDel="00000000" w:rsidR="00000000" w:rsidRPr="00000000">
        <w:rPr>
          <w:rtl w:val="0"/>
        </w:rPr>
        <w:t xml:space="preserve"> Monthly revenue scaled proportionally, growing from ₹6.20 million to ₹19.69 million.</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Unit Revenue:</w:t>
      </w:r>
      <w:r w:rsidDel="00000000" w:rsidR="00000000" w:rsidRPr="00000000">
        <w:rPr>
          <w:rtl w:val="0"/>
        </w:rPr>
        <w:t xml:space="preserve"> Revenue per completed swap increased from ₹59.89 to ₹64.94 over the period.</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Completion Rate:</w:t>
      </w:r>
      <w:r w:rsidDel="00000000" w:rsidR="00000000" w:rsidRPr="00000000">
        <w:rPr>
          <w:rtl w:val="0"/>
        </w:rPr>
        <w:t xml:space="preserve"> The network completion rate steadily declined from 95.59% at the start of the period to 91.40% by the end. Failure rates saw distinct upward spikes during the late Q2 periods (April–June 2024 and April–June 2025).</w:t>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Interpretation:</w:t>
      </w:r>
      <w:r w:rsidDel="00000000" w:rsidR="00000000" w:rsidRPr="00000000">
        <w:rPr>
          <w:rtl w:val="0"/>
        </w:rPr>
        <w:t xml:space="preserve"> The network successfully expanded in transaction volume and revenue, but operational reliability did not improve at the same pace, revealing a scaling bottleneck.</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[Insert Figure 1: Monthly Completion Rate here]</w:t>
        <w:br w:type="textWrapping"/>
        <w:t xml:space="preserve">[Insert Figure 2: Monthly Revenue here]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zfq250twe3o" w:id="7"/>
      <w:bookmarkEnd w:id="7"/>
      <w:r w:rsidDel="00000000" w:rsidR="00000000" w:rsidRPr="00000000">
        <w:rPr>
          <w:rtl w:val="0"/>
        </w:rPr>
        <w:t xml:space="preserve">4.2 SERVICE FAILURES AND CUSTOMER EXPERIENCE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 analysis of unsuccessful swap attempts and customer support tickets highlights severe pressure points on hardware availability and queue management.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Failure Reasons:</w:t>
      </w:r>
      <w:r w:rsidDel="00000000" w:rsidR="00000000" w:rsidRPr="00000000">
        <w:rPr>
          <w:rtl w:val="0"/>
        </w:rPr>
      </w:r>
    </w:p>
    <w:p w:rsidR="00000000" w:rsidDel="00000000" w:rsidP="00000000" w:rsidRDefault="00000000" w:rsidRPr="00000000" w14:paraId="0000004C">
      <w:pPr>
        <w:numPr>
          <w:ilvl w:val="1"/>
          <w:numId w:val="1"/>
        </w:numPr>
        <w:ind w:left="1440" w:hanging="360"/>
      </w:pPr>
      <w:r w:rsidDel="00000000" w:rsidR="00000000" w:rsidRPr="00000000">
        <w:rPr>
          <w:rtl w:val="0"/>
        </w:rPr>
        <w:t xml:space="preserve">Lack of a charged battery: 58.16% of all unsuccessful attempts.</w:t>
      </w:r>
    </w:p>
    <w:p w:rsidR="00000000" w:rsidDel="00000000" w:rsidP="00000000" w:rsidRDefault="00000000" w:rsidRPr="00000000" w14:paraId="0000004D">
      <w:pPr>
        <w:numPr>
          <w:ilvl w:val="1"/>
          <w:numId w:val="1"/>
        </w:numPr>
        <w:ind w:left="1440" w:hanging="360"/>
      </w:pPr>
      <w:r w:rsidDel="00000000" w:rsidR="00000000" w:rsidRPr="00000000">
        <w:rPr>
          <w:rtl w:val="0"/>
        </w:rPr>
        <w:t xml:space="preserve">Abandoned queues: 29.64% of all unsuccessful attempts.</w:t>
      </w:r>
    </w:p>
    <w:p w:rsidR="00000000" w:rsidDel="00000000" w:rsidP="00000000" w:rsidRDefault="00000000" w:rsidRPr="00000000" w14:paraId="0000004E">
      <w:pPr>
        <w:numPr>
          <w:ilvl w:val="0"/>
          <w:numId w:val="1"/>
        </w:numPr>
        <w:ind w:left="720" w:hanging="360"/>
      </w:pPr>
      <w:r w:rsidDel="00000000" w:rsidR="00000000" w:rsidRPr="00000000">
        <w:rPr>
          <w:b w:val="1"/>
          <w:bCs w:val="1"/>
          <w:rtl w:val="0"/>
        </w:rPr>
        <w:t xml:space="preserve">Vehicle Class:</w:t>
      </w:r>
      <w:r w:rsidDel="00000000" w:rsidR="00000000" w:rsidRPr="00000000">
        <w:rPr>
          <w:rtl w:val="0"/>
        </w:rPr>
        <w:t xml:space="preserve"> 3W riders faced an unsuccessful rate of 10.39%, nearly double the 5.45% failure rate experienced by 2W riders.</w:t>
      </w:r>
    </w:p>
    <w:p w:rsidR="00000000" w:rsidDel="00000000" w:rsidP="00000000" w:rsidRDefault="00000000" w:rsidRPr="00000000" w14:paraId="0000004F">
      <w:pPr>
        <w:numPr>
          <w:ilvl w:val="0"/>
          <w:numId w:val="1"/>
        </w:numPr>
        <w:ind w:left="720" w:hanging="360"/>
      </w:pPr>
      <w:r w:rsidDel="00000000" w:rsidR="00000000" w:rsidRPr="00000000">
        <w:rPr>
          <w:b w:val="1"/>
          <w:bCs w:val="1"/>
          <w:rtl w:val="0"/>
        </w:rPr>
        <w:t xml:space="preserve">Time of Day:</w:t>
      </w:r>
      <w:r w:rsidDel="00000000" w:rsidR="00000000" w:rsidRPr="00000000">
        <w:rPr>
          <w:rtl w:val="0"/>
        </w:rPr>
        <w:t xml:space="preserve"> Operational failure rates peaked during evening hours (19:00–22:00), reaching approximately 6.55%–6.65%.</w:t>
      </w:r>
    </w:p>
    <w:p w:rsidR="00000000" w:rsidDel="00000000" w:rsidP="00000000" w:rsidRDefault="00000000" w:rsidRPr="00000000" w14:paraId="00000050">
      <w:pPr>
        <w:numPr>
          <w:ilvl w:val="0"/>
          <w:numId w:val="1"/>
        </w:numPr>
        <w:ind w:left="720" w:hanging="360"/>
      </w:pPr>
      <w:r w:rsidDel="00000000" w:rsidR="00000000" w:rsidRPr="00000000">
        <w:rPr>
          <w:b w:val="1"/>
          <w:bCs w:val="1"/>
          <w:rtl w:val="0"/>
        </w:rPr>
        <w:t xml:space="preserve">Customer Support:</w:t>
      </w:r>
      <w:r w:rsidDel="00000000" w:rsidR="00000000" w:rsidRPr="00000000">
        <w:rPr>
          <w:rtl w:val="0"/>
        </w:rPr>
        <w:t xml:space="preserve"> The top three customer complaint categories closely mirrored the operational data:</w:t>
      </w:r>
    </w:p>
    <w:p w:rsidR="00000000" w:rsidDel="00000000" w:rsidP="00000000" w:rsidRDefault="00000000" w:rsidRPr="00000000" w14:paraId="00000051">
      <w:pPr>
        <w:numPr>
          <w:ilvl w:val="1"/>
          <w:numId w:val="1"/>
        </w:numPr>
        <w:ind w:left="1440" w:hanging="360"/>
      </w:pPr>
      <w:r w:rsidDel="00000000" w:rsidR="00000000" w:rsidRPr="00000000">
        <w:rPr>
          <w:rtl w:val="0"/>
        </w:rPr>
        <w:t xml:space="preserve">No battery available: 26.47%</w:t>
      </w:r>
    </w:p>
    <w:p w:rsidR="00000000" w:rsidDel="00000000" w:rsidP="00000000" w:rsidRDefault="00000000" w:rsidRPr="00000000" w14:paraId="00000052">
      <w:pPr>
        <w:numPr>
          <w:ilvl w:val="1"/>
          <w:numId w:val="1"/>
        </w:numPr>
        <w:ind w:left="1440" w:hanging="360"/>
      </w:pPr>
      <w:r w:rsidDel="00000000" w:rsidR="00000000" w:rsidRPr="00000000">
        <w:rPr>
          <w:rtl w:val="0"/>
        </w:rPr>
        <w:t xml:space="preserve">Low range: 15.08%</w:t>
      </w:r>
    </w:p>
    <w:p w:rsidR="00000000" w:rsidDel="00000000" w:rsidP="00000000" w:rsidRDefault="00000000" w:rsidRPr="00000000" w14:paraId="00000053">
      <w:pPr>
        <w:numPr>
          <w:ilvl w:val="1"/>
          <w:numId w:val="1"/>
        </w:numPr>
        <w:ind w:left="1440" w:hanging="360"/>
      </w:pPr>
      <w:r w:rsidDel="00000000" w:rsidR="00000000" w:rsidRPr="00000000">
        <w:rPr>
          <w:rtl w:val="0"/>
        </w:rPr>
        <w:t xml:space="preserve">Long queues: 13.02%</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Interpretation:</w:t>
      </w:r>
      <w:r w:rsidDel="00000000" w:rsidR="00000000" w:rsidRPr="00000000">
        <w:rPr>
          <w:rtl w:val="0"/>
        </w:rPr>
        <w:t xml:space="preserve"> The strongest operational issues are related to battery availability and queue pressure. Furthermore, performance is highly uneven across vehicle classes and times of the day, with heavy-duty (3W) users bearing the brunt of the unreliability.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[Insert Figure 3: Failure Types here]</w:t>
        <w:br w:type="textWrapping"/>
        <w:t xml:space="preserve">[Insert Figure 4: Failure Rate by Hour here]</w:t>
        <w:br w:type="textWrapping"/>
        <w:t xml:space="preserve">[Insert Figure 5: Failure Rate by Vehicle Class here]</w:t>
        <w:br w:type="textWrapping"/>
        <w:t xml:space="preserve">[Insert Figure 6: Failure Rate by City here]</w:t>
        <w:br w:type="textWrapping"/>
        <w:t xml:space="preserve">[Insert Figure 7: Support Tickets by Complaint Category here]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15j6wzjpt4jn" w:id="8"/>
      <w:bookmarkEnd w:id="8"/>
      <w:r w:rsidDel="00000000" w:rsidR="00000000" w:rsidRPr="00000000">
        <w:rPr>
          <w:rtl w:val="0"/>
        </w:rPr>
        <w:t xml:space="preserve">4.3 STATION AND GEOGRAPHIC PATTERNS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Network reliability varied materially across geographic markets and hardware generations. Several individual stations recorded critical unsuccessful rates above 8.5%.</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1"/>
        </w:numPr>
        <w:ind w:left="720" w:hanging="360"/>
      </w:pPr>
      <w:r w:rsidDel="00000000" w:rsidR="00000000" w:rsidRPr="00000000">
        <w:rPr>
          <w:b w:val="1"/>
          <w:bCs w:val="1"/>
          <w:rtl w:val="0"/>
        </w:rPr>
        <w:t xml:space="preserve">City-Level Performance:</w:t>
      </w:r>
      <w:r w:rsidDel="00000000" w:rsidR="00000000" w:rsidRPr="00000000">
        <w:rPr>
          <w:rtl w:val="0"/>
        </w:rPr>
        <w:t xml:space="preserve"> Jaipur (7.85%) and Delhi NCR (7.35%) suffered the highest unsuccessful swap rates.</w:t>
      </w:r>
    </w:p>
    <w:p w:rsidR="00000000" w:rsidDel="00000000" w:rsidP="00000000" w:rsidRDefault="00000000" w:rsidRPr="00000000" w14:paraId="0000005E">
      <w:pPr>
        <w:numPr>
          <w:ilvl w:val="0"/>
          <w:numId w:val="1"/>
        </w:numPr>
        <w:ind w:left="720" w:hanging="360"/>
      </w:pPr>
      <w:r w:rsidDel="00000000" w:rsidR="00000000" w:rsidRPr="00000000">
        <w:rPr>
          <w:b w:val="1"/>
          <w:bCs w:val="1"/>
          <w:rtl w:val="0"/>
        </w:rPr>
        <w:t xml:space="preserve">Charger Generation:</w:t>
      </w:r>
      <w:r w:rsidDel="00000000" w:rsidR="00000000" w:rsidRPr="00000000">
        <w:rPr>
          <w:rtl w:val="0"/>
        </w:rPr>
        <w:t xml:space="preserve"> Older infrastructure is underperforming. Gen1 chargers yielded a 7.23% unsuccessful rate, lagging significantly behind Gen2 (4.85%) and Gen3 (4.84%).</w:t>
      </w:r>
    </w:p>
    <w:p w:rsidR="00000000" w:rsidDel="00000000" w:rsidP="00000000" w:rsidRDefault="00000000" w:rsidRPr="00000000" w14:paraId="0000005F">
      <w:pPr>
        <w:numPr>
          <w:ilvl w:val="0"/>
          <w:numId w:val="1"/>
        </w:numPr>
        <w:ind w:left="720" w:hanging="360"/>
      </w:pPr>
      <w:r w:rsidDel="00000000" w:rsidR="00000000" w:rsidRPr="00000000">
        <w:rPr>
          <w:b w:val="1"/>
          <w:bCs w:val="1"/>
          <w:rtl w:val="0"/>
        </w:rPr>
        <w:t xml:space="preserve">Expansion Waves:</w:t>
      </w:r>
      <w:r w:rsidDel="00000000" w:rsidR="00000000" w:rsidRPr="00000000">
        <w:rPr>
          <w:rtl w:val="0"/>
        </w:rPr>
        <w:t xml:space="preserve"> Early network installations showed higher failure rates. Launch-wave stations recorded a 6.24% unsuccessful rate, compared to 4.88% for Wave1_2024H2 and 4.99% for Wave2_2025H1.</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Interpretation:</w:t>
      </w:r>
      <w:r w:rsidDel="00000000" w:rsidR="00000000" w:rsidRPr="00000000">
        <w:rPr>
          <w:rtl w:val="0"/>
        </w:rPr>
        <w:t xml:space="preserve"> Operational performance is not uniform. Older charger-generation locations and early launch-wave markets appear to have systematically higher unsuccessful rates, suggesting hardware degradation or sustained capacity mismatch.</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[Insert Figure 8: Failure Rate by Charger Generation here]</w:t>
        <w:br w:type="textWrapping"/>
        <w:t xml:space="preserve">[Insert Figure 9: Failure Rate by Expansion Wave here]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r18n8ljlalhr" w:id="9"/>
      <w:bookmarkEnd w:id="9"/>
      <w:r w:rsidDel="00000000" w:rsidR="00000000" w:rsidRPr="00000000">
        <w:rPr>
          <w:rtl w:val="0"/>
        </w:rPr>
        <w:t xml:space="preserve">4.4 BATTERY AND EQUIPMENT PERFORMANCE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Battery health directly impacted the rider experience, with noticeable differences observed across equipment suppliers.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Battery Health vs. Realized Range</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5000"/>
        <w:tblGridChange w:id="0">
          <w:tblGrid>
            <w:gridCol w:w="4000"/>
            <w:gridCol w:w="5000"/>
          </w:tblGrid>
        </w:tblGridChange>
      </w:tblGrid>
      <w:tr>
        <w:trPr>
          <w:cantSplit w:val="0"/>
          <w:tblHeader w:val="1"/>
        </w:trPr>
        <w:tc>
          <w:tcPr/>
          <w:p w:rsidR="00000000" w:rsidDel="00000000" w:rsidP="00000000" w:rsidRDefault="00000000" w:rsidRPr="00000000" w14:paraId="0000006A">
            <w:pPr>
              <w:rPr/>
            </w:pPr>
            <w:r w:rsidDel="00000000" w:rsidR="00000000" w:rsidRPr="00000000">
              <w:rPr>
                <w:b w:val="1"/>
                <w:bCs w:val="1"/>
                <w:rtl w:val="0"/>
              </w:rPr>
              <w:t xml:space="preserve">SOH Band</w:t>
            </w:r>
            <w:r w:rsidDel="00000000" w:rsidR="00000000" w:rsidRPr="00000000">
              <w:rPr>
                <w:rtl w:val="0"/>
              </w:rPr>
            </w:r>
          </w:p>
        </w:tc>
        <w:tc>
          <w:tcPr/>
          <w:p w:rsidR="00000000" w:rsidDel="00000000" w:rsidP="00000000" w:rsidRDefault="00000000" w:rsidRPr="00000000" w14:paraId="0000006B">
            <w:pPr>
              <w:rPr/>
            </w:pPr>
            <w:r w:rsidDel="00000000" w:rsidR="00000000" w:rsidRPr="00000000">
              <w:rPr>
                <w:b w:val="1"/>
                <w:bCs w:val="1"/>
                <w:rtl w:val="0"/>
              </w:rPr>
              <w:t xml:space="preserve">Average Distance Between Swaps</w:t>
            </w: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&lt; 80%</w:t>
            </w:r>
          </w:p>
        </w:tc>
        <w:tc>
          <w:tcPr/>
          <w:p w:rsidR="00000000" w:rsidDel="00000000" w:rsidP="00000000" w:rsidRDefault="00000000" w:rsidRPr="00000000" w14:paraId="0000006D">
            <w:pPr>
              <w:rPr/>
            </w:pPr>
            <w:r w:rsidDel="00000000" w:rsidR="00000000" w:rsidRPr="00000000">
              <w:rPr>
                <w:rtl w:val="0"/>
              </w:rPr>
              <w:t xml:space="preserve">44.43 km</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80–90%</w:t>
            </w:r>
          </w:p>
        </w:tc>
        <w:tc>
          <w:tcPr/>
          <w:p w:rsidR="00000000" w:rsidDel="00000000" w:rsidP="00000000" w:rsidRDefault="00000000" w:rsidRPr="00000000" w14:paraId="0000006F">
            <w:pPr>
              <w:rPr/>
            </w:pPr>
            <w:r w:rsidDel="00000000" w:rsidR="00000000" w:rsidRPr="00000000">
              <w:rPr>
                <w:rtl w:val="0"/>
              </w:rPr>
              <w:t xml:space="preserve">58.08 km</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90–95%</w:t>
            </w:r>
          </w:p>
        </w:tc>
        <w:tc>
          <w:tcPr/>
          <w:p w:rsidR="00000000" w:rsidDel="00000000" w:rsidP="00000000" w:rsidRDefault="00000000" w:rsidRPr="00000000" w14:paraId="00000071">
            <w:pPr>
              <w:rPr/>
            </w:pPr>
            <w:r w:rsidDel="00000000" w:rsidR="00000000" w:rsidRPr="00000000">
              <w:rPr>
                <w:rtl w:val="0"/>
              </w:rPr>
              <w:t xml:space="preserve">68.21 km</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95–100%</w:t>
            </w:r>
          </w:p>
        </w:tc>
        <w:tc>
          <w:tcPr/>
          <w:p w:rsidR="00000000" w:rsidDel="00000000" w:rsidP="00000000" w:rsidRDefault="00000000" w:rsidRPr="00000000" w14:paraId="00000073">
            <w:pPr>
              <w:rPr/>
            </w:pPr>
            <w:r w:rsidDel="00000000" w:rsidR="00000000" w:rsidRPr="00000000">
              <w:rPr>
                <w:rtl w:val="0"/>
              </w:rPr>
              <w:t xml:space="preserve">72.82 km</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Supplier Comparison</w:t>
      </w:r>
      <w:r w:rsidDel="00000000" w:rsidR="00000000" w:rsidRPr="00000000">
        <w:rPr>
          <w:rtl w:val="0"/>
        </w:rPr>
      </w:r>
    </w:p>
    <w:tbl>
      <w:tblPr>
        <w:tblStyle w:val="Table2"/>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600"/>
        <w:tblGridChange w:id="0">
          <w:tblGrid>
            <w:gridCol w:w="3000"/>
            <w:gridCol w:w="3000"/>
            <w:gridCol w:w="3600"/>
          </w:tblGrid>
        </w:tblGridChange>
      </w:tblGrid>
      <w:tr>
        <w:trPr>
          <w:cantSplit w:val="0"/>
          <w:tblHeader w:val="1"/>
        </w:trPr>
        <w:tc>
          <w:tcPr/>
          <w:p w:rsidR="00000000" w:rsidDel="00000000" w:rsidP="00000000" w:rsidRDefault="00000000" w:rsidRPr="00000000" w14:paraId="00000076">
            <w:pPr>
              <w:rPr/>
            </w:pPr>
            <w:r w:rsidDel="00000000" w:rsidR="00000000" w:rsidRPr="00000000">
              <w:rPr>
                <w:b w:val="1"/>
                <w:bCs w:val="1"/>
                <w:rtl w:val="0"/>
              </w:rPr>
              <w:t xml:space="preserve">Supplier</w:t>
            </w:r>
            <w:r w:rsidDel="00000000" w:rsidR="00000000" w:rsidRPr="00000000">
              <w:rPr>
                <w:rtl w:val="0"/>
              </w:rPr>
            </w:r>
          </w:p>
        </w:tc>
        <w:tc>
          <w:tcPr/>
          <w:p w:rsidR="00000000" w:rsidDel="00000000" w:rsidP="00000000" w:rsidRDefault="00000000" w:rsidRPr="00000000" w14:paraId="00000077">
            <w:pPr>
              <w:rPr/>
            </w:pPr>
            <w:r w:rsidDel="00000000" w:rsidR="00000000" w:rsidRPr="00000000">
              <w:rPr>
                <w:b w:val="1"/>
                <w:bCs w:val="1"/>
                <w:rtl w:val="0"/>
              </w:rPr>
              <w:t xml:space="preserve">Average SOH</w:t>
            </w:r>
            <w:r w:rsidDel="00000000" w:rsidR="00000000" w:rsidRPr="00000000">
              <w:rPr>
                <w:rtl w:val="0"/>
              </w:rPr>
            </w:r>
          </w:p>
        </w:tc>
        <w:tc>
          <w:tcPr/>
          <w:p w:rsidR="00000000" w:rsidDel="00000000" w:rsidP="00000000" w:rsidRDefault="00000000" w:rsidRPr="00000000" w14:paraId="00000078">
            <w:pPr>
              <w:rPr/>
            </w:pPr>
            <w:r w:rsidDel="00000000" w:rsidR="00000000" w:rsidRPr="00000000">
              <w:rPr>
                <w:b w:val="1"/>
                <w:bCs w:val="1"/>
                <w:rtl w:val="0"/>
              </w:rPr>
              <w:t xml:space="preserve">Average Distance</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Amptek</w:t>
            </w:r>
          </w:p>
        </w:tc>
        <w:tc>
          <w:tcPr/>
          <w:p w:rsidR="00000000" w:rsidDel="00000000" w:rsidP="00000000" w:rsidRDefault="00000000" w:rsidRPr="00000000" w14:paraId="0000007A">
            <w:pPr>
              <w:rPr/>
            </w:pPr>
            <w:r w:rsidDel="00000000" w:rsidR="00000000" w:rsidRPr="00000000">
              <w:rPr>
                <w:rtl w:val="0"/>
              </w:rPr>
              <w:t xml:space="preserve">90.09%</w:t>
            </w:r>
          </w:p>
        </w:tc>
        <w:tc>
          <w:tcPr/>
          <w:p w:rsidR="00000000" w:rsidDel="00000000" w:rsidP="00000000" w:rsidRDefault="00000000" w:rsidRPr="00000000" w14:paraId="0000007B">
            <w:pPr>
              <w:rPr/>
            </w:pPr>
            <w:r w:rsidDel="00000000" w:rsidR="00000000" w:rsidRPr="00000000">
              <w:rPr>
                <w:rtl w:val="0"/>
              </w:rPr>
              <w:t xml:space="preserve">64.76 km</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Cellora</w:t>
            </w:r>
          </w:p>
        </w:tc>
        <w:tc>
          <w:tcPr/>
          <w:p w:rsidR="00000000" w:rsidDel="00000000" w:rsidP="00000000" w:rsidRDefault="00000000" w:rsidRPr="00000000" w14:paraId="0000007D">
            <w:pPr>
              <w:rPr/>
            </w:pPr>
            <w:r w:rsidDel="00000000" w:rsidR="00000000" w:rsidRPr="00000000">
              <w:rPr>
                <w:rtl w:val="0"/>
              </w:rPr>
              <w:t xml:space="preserve">90.05%</w:t>
            </w:r>
          </w:p>
        </w:tc>
        <w:tc>
          <w:tcPr/>
          <w:p w:rsidR="00000000" w:rsidDel="00000000" w:rsidP="00000000" w:rsidRDefault="00000000" w:rsidRPr="00000000" w14:paraId="0000007E">
            <w:pPr>
              <w:rPr/>
            </w:pPr>
            <w:r w:rsidDel="00000000" w:rsidR="00000000" w:rsidRPr="00000000">
              <w:rPr>
                <w:rtl w:val="0"/>
              </w:rPr>
              <w:t xml:space="preserve">64.45 km</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Kyron</w:t>
            </w:r>
          </w:p>
        </w:tc>
        <w:tc>
          <w:tcPr/>
          <w:p w:rsidR="00000000" w:rsidDel="00000000" w:rsidP="00000000" w:rsidRDefault="00000000" w:rsidRPr="00000000" w14:paraId="00000080">
            <w:pPr>
              <w:rPr/>
            </w:pPr>
            <w:r w:rsidDel="00000000" w:rsidR="00000000" w:rsidRPr="00000000">
              <w:rPr>
                <w:rtl w:val="0"/>
              </w:rPr>
              <w:t xml:space="preserve">81.62%</w:t>
            </w:r>
          </w:p>
        </w:tc>
        <w:tc>
          <w:tcPr/>
          <w:p w:rsidR="00000000" w:rsidDel="00000000" w:rsidP="00000000" w:rsidRDefault="00000000" w:rsidRPr="00000000" w14:paraId="00000081">
            <w:pPr>
              <w:rPr/>
            </w:pPr>
            <w:r w:rsidDel="00000000" w:rsidR="00000000" w:rsidRPr="00000000">
              <w:rPr>
                <w:rtl w:val="0"/>
              </w:rPr>
              <w:t xml:space="preserve">54.04 km</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Interpretation:</w:t>
      </w:r>
      <w:r w:rsidDel="00000000" w:rsidR="00000000" w:rsidRPr="00000000">
        <w:rPr>
          <w:rtl w:val="0"/>
        </w:rPr>
        <w:t xml:space="preserve"> Higher battery health is strongly associated with greater observed distance between swaps. Kyron batteries show lower observed SOH and lower average distances than the other suppliers in this analysis. </w:t>
      </w:r>
      <w:r w:rsidDel="00000000" w:rsidR="00000000" w:rsidRPr="00000000">
        <w:rPr>
          <w:i w:val="1"/>
          <w:iCs w:val="1"/>
          <w:rtl w:val="0"/>
        </w:rPr>
        <w:t xml:space="preserve">(Important Note: These are observational comparisons and do not establish that the supplier alone caused the difference.)</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[Insert Figure 10: SOH Band vs Average Distance here]</w:t>
        <w:br w:type="textWrapping"/>
        <w:t xml:space="preserve">[Insert Figure 11: Average Distance by Supplier here]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bookmarkStart w:colFirst="0" w:colLast="0" w:name="_mi0hdxdf6b5e" w:id="10"/>
      <w:bookmarkEnd w:id="10"/>
      <w:r w:rsidDel="00000000" w:rsidR="00000000" w:rsidRPr="00000000">
        <w:rPr>
          <w:rtl w:val="0"/>
        </w:rPr>
        <w:t xml:space="preserve">4.5 PRICING AND PARTNER ECONOMICS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Different pricing segments and B2B contracts yielded vastly different volume and revenue profiles.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0"/>
          <w:numId w:val="1"/>
        </w:numPr>
        <w:ind w:left="720" w:hanging="360"/>
      </w:pPr>
      <w:r w:rsidDel="00000000" w:rsidR="00000000" w:rsidRPr="00000000">
        <w:rPr>
          <w:b w:val="1"/>
          <w:bCs w:val="1"/>
          <w:rtl w:val="0"/>
        </w:rPr>
        <w:t xml:space="preserve">Tariff Performance:</w:t>
      </w:r>
      <w:r w:rsidDel="00000000" w:rsidR="00000000" w:rsidRPr="00000000">
        <w:rPr>
          <w:rtl w:val="0"/>
        </w:rPr>
      </w:r>
    </w:p>
    <w:p w:rsidR="00000000" w:rsidDel="00000000" w:rsidP="00000000" w:rsidRDefault="00000000" w:rsidRPr="00000000" w14:paraId="0000008C">
      <w:pPr>
        <w:numPr>
          <w:ilvl w:val="1"/>
          <w:numId w:val="1"/>
        </w:numPr>
        <w:ind w:left="1440" w:hanging="360"/>
      </w:pPr>
      <w:r w:rsidDel="00000000" w:rsidR="00000000" w:rsidRPr="00000000">
        <w:rPr>
          <w:b w:val="1"/>
          <w:bCs w:val="1"/>
          <w:rtl w:val="0"/>
        </w:rPr>
        <w:t xml:space="preserve">PEAK:</w:t>
      </w:r>
      <w:r w:rsidDel="00000000" w:rsidR="00000000" w:rsidRPr="00000000">
        <w:rPr>
          <w:rtl w:val="0"/>
        </w:rPr>
        <w:t xml:space="preserve"> ₹82.50 revenue per completed swap.</w:t>
      </w:r>
    </w:p>
    <w:p w:rsidR="00000000" w:rsidDel="00000000" w:rsidP="00000000" w:rsidRDefault="00000000" w:rsidRPr="00000000" w14:paraId="0000008D">
      <w:pPr>
        <w:numPr>
          <w:ilvl w:val="1"/>
          <w:numId w:val="1"/>
        </w:numPr>
        <w:ind w:left="1440" w:hanging="360"/>
      </w:pPr>
      <w:r w:rsidDel="00000000" w:rsidR="00000000" w:rsidRPr="00000000">
        <w:rPr>
          <w:b w:val="1"/>
          <w:bCs w:val="1"/>
          <w:rtl w:val="0"/>
        </w:rPr>
        <w:t xml:space="preserve">STD:</w:t>
      </w:r>
      <w:r w:rsidDel="00000000" w:rsidR="00000000" w:rsidRPr="00000000">
        <w:rPr>
          <w:rtl w:val="0"/>
        </w:rPr>
        <w:t xml:space="preserve"> ₹66.21 revenue per completed swap.</w:t>
      </w:r>
    </w:p>
    <w:p w:rsidR="00000000" w:rsidDel="00000000" w:rsidP="00000000" w:rsidRDefault="00000000" w:rsidRPr="00000000" w14:paraId="0000008E">
      <w:pPr>
        <w:numPr>
          <w:ilvl w:val="1"/>
          <w:numId w:val="1"/>
        </w:numPr>
        <w:ind w:left="1440" w:hanging="360"/>
      </w:pPr>
      <w:r w:rsidDel="00000000" w:rsidR="00000000" w:rsidRPr="00000000">
        <w:rPr>
          <w:b w:val="1"/>
          <w:bCs w:val="1"/>
          <w:rtl w:val="0"/>
        </w:rPr>
        <w:t xml:space="preserve">OFFPEAK:</w:t>
      </w:r>
      <w:r w:rsidDel="00000000" w:rsidR="00000000" w:rsidRPr="00000000">
        <w:rPr>
          <w:rtl w:val="0"/>
        </w:rPr>
        <w:t xml:space="preserve"> ₹59.48 revenue per completed swap.</w:t>
      </w:r>
    </w:p>
    <w:p w:rsidR="00000000" w:rsidDel="00000000" w:rsidP="00000000" w:rsidRDefault="00000000" w:rsidRPr="00000000" w14:paraId="0000008F">
      <w:pPr>
        <w:numPr>
          <w:ilvl w:val="1"/>
          <w:numId w:val="1"/>
        </w:numPr>
        <w:ind w:left="1440" w:hanging="360"/>
      </w:pPr>
      <w:r w:rsidDel="00000000" w:rsidR="00000000" w:rsidRPr="00000000">
        <w:rPr>
          <w:b w:val="1"/>
          <w:bCs w:val="1"/>
          <w:rtl w:val="0"/>
        </w:rPr>
        <w:t xml:space="preserve">PARTNER:</w:t>
      </w:r>
      <w:r w:rsidDel="00000000" w:rsidR="00000000" w:rsidRPr="00000000">
        <w:rPr>
          <w:rtl w:val="0"/>
        </w:rPr>
        <w:t xml:space="preserve"> Generated the largest transaction volume overall.</w:t>
      </w:r>
    </w:p>
    <w:p w:rsidR="00000000" w:rsidDel="00000000" w:rsidP="00000000" w:rsidRDefault="00000000" w:rsidRPr="00000000" w14:paraId="00000090">
      <w:pPr>
        <w:numPr>
          <w:ilvl w:val="0"/>
          <w:numId w:val="1"/>
        </w:numPr>
        <w:ind w:left="720" w:hanging="360"/>
      </w:pPr>
      <w:r w:rsidDel="00000000" w:rsidR="00000000" w:rsidRPr="00000000">
        <w:rPr>
          <w:b w:val="1"/>
          <w:bCs w:val="1"/>
          <w:rtl w:val="0"/>
        </w:rPr>
        <w:t xml:space="preserve">Fleet Partner Economics:</w:t>
      </w:r>
      <w:r w:rsidDel="00000000" w:rsidR="00000000" w:rsidRPr="00000000">
        <w:rPr>
          <w:rtl w:val="0"/>
        </w:rPr>
      </w:r>
    </w:p>
    <w:p w:rsidR="00000000" w:rsidDel="00000000" w:rsidP="00000000" w:rsidRDefault="00000000" w:rsidRPr="00000000" w14:paraId="00000091">
      <w:pPr>
        <w:numPr>
          <w:ilvl w:val="1"/>
          <w:numId w:val="1"/>
        </w:numPr>
        <w:ind w:left="1440" w:hanging="360"/>
      </w:pPr>
      <w:r w:rsidDel="00000000" w:rsidR="00000000" w:rsidRPr="00000000">
        <w:rPr>
          <w:rtl w:val="0"/>
        </w:rPr>
        <w:t xml:space="preserve">FP-03 drove the highest completed-swap volume network-wide (549,390 swaps).</w:t>
      </w:r>
    </w:p>
    <w:p w:rsidR="00000000" w:rsidDel="00000000" w:rsidP="00000000" w:rsidRDefault="00000000" w:rsidRPr="00000000" w14:paraId="00000092">
      <w:pPr>
        <w:numPr>
          <w:ilvl w:val="1"/>
          <w:numId w:val="1"/>
        </w:numPr>
        <w:ind w:left="1440" w:hanging="360"/>
      </w:pPr>
      <w:r w:rsidDel="00000000" w:rsidR="00000000" w:rsidRPr="00000000">
        <w:rPr>
          <w:rtl w:val="0"/>
        </w:rPr>
        <w:t xml:space="preserve">FP-04 and FP-09 achieved revenue per completed swap close to ₹100.</w:t>
      </w:r>
    </w:p>
    <w:p w:rsidR="00000000" w:rsidDel="00000000" w:rsidP="00000000" w:rsidRDefault="00000000" w:rsidRPr="00000000" w14:paraId="00000093">
      <w:pPr>
        <w:numPr>
          <w:ilvl w:val="1"/>
          <w:numId w:val="1"/>
        </w:numPr>
        <w:ind w:left="1440" w:hanging="360"/>
      </w:pPr>
      <w:r w:rsidDel="00000000" w:rsidR="00000000" w:rsidRPr="00000000">
        <w:rPr>
          <w:rtl w:val="0"/>
        </w:rPr>
        <w:t xml:space="preserve">Partner economics differed materially across individual contracts.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Interpretation:</w:t>
      </w:r>
      <w:r w:rsidDel="00000000" w:rsidR="00000000" w:rsidRPr="00000000">
        <w:rPr>
          <w:rtl w:val="0"/>
        </w:rPr>
        <w:t xml:space="preserve"> Pricing and partner segments show completely different transaction-volume and revenue patterns. Revenue per completed swap should not be treated as profit, as underlying contribution costs per contract were not calculated in this scope.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[Insert Figure 12: Revenue per Completed Swap by Tariff here]</w:t>
        <w:br w:type="textWrapping"/>
        <w:t xml:space="preserve">[Insert Figure 13: Completed Swaps by Fleet Partner here]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pPr>
      <w:bookmarkStart w:colFirst="0" w:colLast="0" w:name="_ndkvl3k07e4r" w:id="11"/>
      <w:bookmarkEnd w:id="11"/>
      <w:r w:rsidDel="00000000" w:rsidR="00000000" w:rsidRPr="00000000">
        <w:rPr>
          <w:rtl w:val="0"/>
        </w:rPr>
        <w:t xml:space="preserve">4.6 RIDER RETENTION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i w:val="1"/>
          <w:iCs w:val="1"/>
          <w:rtl w:val="0"/>
        </w:rPr>
        <w:t xml:space="preserve">Retention Definition: A rider's first completed swap is treated as the starting point. A rider is considered "retained" if they complete another swap within 30 days.</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numPr>
          <w:ilvl w:val="0"/>
          <w:numId w:val="1"/>
        </w:numPr>
        <w:ind w:left="720" w:hanging="360"/>
      </w:pPr>
      <w:r w:rsidDel="00000000" w:rsidR="00000000" w:rsidRPr="00000000">
        <w:rPr>
          <w:b w:val="1"/>
          <w:bCs w:val="1"/>
          <w:rtl w:val="0"/>
        </w:rPr>
        <w:t xml:space="preserve">Overall Retention:</w:t>
      </w:r>
      <w:r w:rsidDel="00000000" w:rsidR="00000000" w:rsidRPr="00000000">
        <w:rPr>
          <w:rtl w:val="0"/>
        </w:rPr>
        <w:t xml:space="preserve"> Monthly 30-day retention remained consistently high, generally holding above 98% among the eligible cohorts (18,570 riders returned within 30 days vs. 123 who did not).</w:t>
      </w:r>
    </w:p>
    <w:p w:rsidR="00000000" w:rsidDel="00000000" w:rsidP="00000000" w:rsidRDefault="00000000" w:rsidRPr="00000000" w14:paraId="0000009E">
      <w:pPr>
        <w:numPr>
          <w:ilvl w:val="0"/>
          <w:numId w:val="1"/>
        </w:numPr>
        <w:ind w:left="720" w:hanging="360"/>
      </w:pPr>
      <w:r w:rsidDel="00000000" w:rsidR="00000000" w:rsidRPr="00000000">
        <w:rPr>
          <w:b w:val="1"/>
          <w:bCs w:val="1"/>
          <w:rtl w:val="0"/>
        </w:rPr>
        <w:t xml:space="preserve">The Cost of Initial Friction:</w:t>
      </w:r>
      <w:r w:rsidDel="00000000" w:rsidR="00000000" w:rsidRPr="00000000">
        <w:rPr>
          <w:rtl w:val="0"/>
        </w:rPr>
        <w:t xml:space="preserve"> Although overall churn is low, the riders who </w:t>
      </w:r>
      <w:r w:rsidDel="00000000" w:rsidR="00000000" w:rsidRPr="00000000">
        <w:rPr>
          <w:i w:val="1"/>
          <w:iCs w:val="1"/>
          <w:rtl w:val="0"/>
        </w:rPr>
        <w:t xml:space="preserve">did not</w:t>
      </w:r>
      <w:r w:rsidDel="00000000" w:rsidR="00000000" w:rsidRPr="00000000">
        <w:rPr>
          <w:rtl w:val="0"/>
        </w:rPr>
        <w:t xml:space="preserve"> return faced a measurably worse first-30-day experience:</w:t>
      </w:r>
    </w:p>
    <w:p w:rsidR="00000000" w:rsidDel="00000000" w:rsidP="00000000" w:rsidRDefault="00000000" w:rsidRPr="00000000" w14:paraId="0000009F">
      <w:pPr>
        <w:numPr>
          <w:ilvl w:val="1"/>
          <w:numId w:val="1"/>
        </w:numPr>
        <w:ind w:left="1440" w:hanging="360"/>
      </w:pPr>
      <w:r w:rsidDel="00000000" w:rsidR="00000000" w:rsidRPr="00000000">
        <w:rPr>
          <w:rtl w:val="0"/>
        </w:rPr>
        <w:t xml:space="preserve">Non-returning riders experienced a 6.70% unsuccessful-attempt rate (vs. 5.37% for returning riders).</w:t>
      </w:r>
    </w:p>
    <w:p w:rsidR="00000000" w:rsidDel="00000000" w:rsidP="00000000" w:rsidRDefault="00000000" w:rsidRPr="00000000" w14:paraId="000000A0">
      <w:pPr>
        <w:numPr>
          <w:ilvl w:val="1"/>
          <w:numId w:val="1"/>
        </w:numPr>
        <w:ind w:left="1440" w:hanging="360"/>
      </w:pPr>
      <w:r w:rsidDel="00000000" w:rsidR="00000000" w:rsidRPr="00000000">
        <w:rPr>
          <w:rtl w:val="0"/>
        </w:rPr>
        <w:t xml:space="preserve">Non-returning riders faced an average queue wait of 4.27 minutes (vs. 4.04 minutes for returning riders).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Interpretation:</w:t>
      </w:r>
      <w:r w:rsidDel="00000000" w:rsidR="00000000" w:rsidRPr="00000000">
        <w:rPr>
          <w:rtl w:val="0"/>
        </w:rPr>
        <w:t xml:space="preserve"> A slightly poorer initial service experience is associated with lower 30-day return behavior. Preventing early-stage operational failures is critical for rider lifecycle retention.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i w:val="1"/>
          <w:iCs w:val="1"/>
          <w:rtl w:val="0"/>
        </w:rPr>
        <w:t xml:space="preserve">(Important limitation: This metric measures only a 30-day return window from the first swap, not complete lifetime platform retention).</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[Insert Figure 14: Monthly 30-Day Rider Retention here]</w:t>
        <w:br w:type="textWrapping"/>
        <w:t xml:space="preserve">[Insert Figure 15: First-30-Day Experience – Returned vs Did Not Return here]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Title"/>
        <w:rPr/>
      </w:pPr>
      <w:bookmarkStart w:colFirst="0" w:colLast="0" w:name="_j0jrd2a6zb8k" w:id="12"/>
      <w:bookmarkEnd w:id="12"/>
      <w:r w:rsidDel="00000000" w:rsidR="00000000" w:rsidRPr="00000000">
        <w:rPr>
          <w:rtl w:val="0"/>
        </w:rPr>
        <w:t xml:space="preserve">5. BUSINESS RECOMMENDATIONS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4"/>
        </w:numPr>
        <w:ind w:left="720" w:hanging="360"/>
      </w:pPr>
      <w:r w:rsidDel="00000000" w:rsidR="00000000" w:rsidRPr="00000000">
        <w:rPr>
          <w:b w:val="1"/>
          <w:bCs w:val="1"/>
          <w:rtl w:val="0"/>
        </w:rPr>
        <w:t xml:space="preserve">Optimize Battery Availability:</w:t>
      </w:r>
      <w:r w:rsidDel="00000000" w:rsidR="00000000" w:rsidRPr="00000000">
        <w:rPr>
          <w:rtl w:val="0"/>
        </w:rPr>
        <w:t xml:space="preserve"> Improve charged-battery availability specifically at high-failure stations and during peak evening demand periods (19:00–22:00) to combat the leading cause of failed swaps.</w:t>
      </w:r>
    </w:p>
    <w:p w:rsidR="00000000" w:rsidDel="00000000" w:rsidP="00000000" w:rsidRDefault="00000000" w:rsidRPr="00000000" w14:paraId="000000AB">
      <w:pPr>
        <w:numPr>
          <w:ilvl w:val="0"/>
          <w:numId w:val="4"/>
        </w:numPr>
        <w:ind w:left="720" w:hanging="360"/>
      </w:pPr>
      <w:r w:rsidDel="00000000" w:rsidR="00000000" w:rsidRPr="00000000">
        <w:rPr>
          <w:b w:val="1"/>
          <w:bCs w:val="1"/>
          <w:rtl w:val="0"/>
        </w:rPr>
        <w:t xml:space="preserve">Targeted Hardware Maintenance:</w:t>
      </w:r>
      <w:r w:rsidDel="00000000" w:rsidR="00000000" w:rsidRPr="00000000">
        <w:rPr>
          <w:rtl w:val="0"/>
        </w:rPr>
        <w:t xml:space="preserve"> Prioritize low-SOH batteries (under 80%) and older Gen1 chargers for active monitoring, maintenance, or replacement, as they are disproportionately driving failure rates.</w:t>
      </w:r>
    </w:p>
    <w:p w:rsidR="00000000" w:rsidDel="00000000" w:rsidP="00000000" w:rsidRDefault="00000000" w:rsidRPr="00000000" w14:paraId="000000AC">
      <w:pPr>
        <w:numPr>
          <w:ilvl w:val="0"/>
          <w:numId w:val="4"/>
        </w:numPr>
        <w:ind w:left="720" w:hanging="360"/>
      </w:pPr>
      <w:r w:rsidDel="00000000" w:rsidR="00000000" w:rsidRPr="00000000">
        <w:rPr>
          <w:b w:val="1"/>
          <w:bCs w:val="1"/>
          <w:rtl w:val="0"/>
        </w:rPr>
        <w:t xml:space="preserve">Granular KPI Tracking:</w:t>
      </w:r>
      <w:r w:rsidDel="00000000" w:rsidR="00000000" w:rsidRPr="00000000">
        <w:rPr>
          <w:rtl w:val="0"/>
        </w:rPr>
        <w:t xml:space="preserve"> Shift monitoring from network-wide averages to city- and station-level failure KPIs. Immediate attention should be placed on Jaipur, Delhi NCR, and specific stations recording failure rates above 8.5%.</w:t>
      </w:r>
    </w:p>
    <w:p w:rsidR="00000000" w:rsidDel="00000000" w:rsidP="00000000" w:rsidRDefault="00000000" w:rsidRPr="00000000" w14:paraId="000000AD">
      <w:pPr>
        <w:numPr>
          <w:ilvl w:val="0"/>
          <w:numId w:val="4"/>
        </w:numPr>
        <w:ind w:left="720" w:hanging="360"/>
      </w:pPr>
      <w:r w:rsidDel="00000000" w:rsidR="00000000" w:rsidRPr="00000000">
        <w:rPr>
          <w:b w:val="1"/>
          <w:bCs w:val="1"/>
          <w:rtl w:val="0"/>
        </w:rPr>
        <w:t xml:space="preserve">Evaluate Partner Profitability:</w:t>
      </w:r>
      <w:r w:rsidDel="00000000" w:rsidR="00000000" w:rsidRPr="00000000">
        <w:rPr>
          <w:rtl w:val="0"/>
        </w:rPr>
        <w:t xml:space="preserve"> Review pricing and fleet-partner performance using a combined lens of transaction volume and true contribution margin (costs), rather than evaluating revenue per completed swap in isolation.</w:t>
      </w:r>
    </w:p>
    <w:p w:rsidR="00000000" w:rsidDel="00000000" w:rsidP="00000000" w:rsidRDefault="00000000" w:rsidRPr="00000000" w14:paraId="000000AE">
      <w:pPr>
        <w:numPr>
          <w:ilvl w:val="0"/>
          <w:numId w:val="4"/>
        </w:numPr>
        <w:ind w:left="720" w:hanging="360"/>
      </w:pPr>
      <w:r w:rsidDel="00000000" w:rsidR="00000000" w:rsidRPr="00000000">
        <w:rPr>
          <w:b w:val="1"/>
          <w:bCs w:val="1"/>
          <w:rtl w:val="0"/>
        </w:rPr>
        <w:t xml:space="preserve">Protect the Onboarding Experience:</w:t>
      </w:r>
      <w:r w:rsidDel="00000000" w:rsidR="00000000" w:rsidRPr="00000000">
        <w:rPr>
          <w:rtl w:val="0"/>
        </w:rPr>
        <w:t xml:space="preserve"> Improve the first-30-day rider experience by minimizing failed attempts and reducing queue waiting times, as early service friction is associated with user churn.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Title"/>
        <w:rPr/>
      </w:pPr>
      <w:bookmarkStart w:colFirst="0" w:colLast="0" w:name="_whb8vjvlfqpa" w:id="13"/>
      <w:bookmarkEnd w:id="13"/>
      <w:r w:rsidDel="00000000" w:rsidR="00000000" w:rsidRPr="00000000">
        <w:rPr>
          <w:rtl w:val="0"/>
        </w:rPr>
        <w:t xml:space="preserve">6. LIMITATIONS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The analysis is purely observational and establishes associations, but it does not prove causality.</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Contribution margin per swap could not be calculated because a single documented margin formula was not established in the data.</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Support-ticket categories are assigned by human agents and may not perfectly represent the true underlying technical issues.</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Customer Satisfaction (CSAT) data contains substantial missingness and was therefore limited in its application.</w:t>
      </w:r>
    </w:p>
    <w:p w:rsidR="00000000" w:rsidDel="00000000" w:rsidP="00000000" w:rsidRDefault="00000000" w:rsidRPr="00000000" w14:paraId="000000B6">
      <w:pPr>
        <w:numPr>
          <w:ilvl w:val="0"/>
          <w:numId w:val="1"/>
        </w:numPr>
        <w:ind w:left="720" w:hanging="360"/>
      </w:pPr>
      <w:r w:rsidDel="00000000" w:rsidR="00000000" w:rsidRPr="00000000">
        <w:rPr>
          <w:rtl w:val="0"/>
        </w:rPr>
        <w:t xml:space="preserve">The rider retention metric strictly measures 30-day return behavior after the first swap, rather than a comprehensive lifetime retention measure.</w:t>
      </w:r>
    </w:p>
    <w:p w:rsidR="00000000" w:rsidDel="00000000" w:rsidP="00000000" w:rsidRDefault="00000000" w:rsidRPr="00000000" w14:paraId="000000B7">
      <w:pPr>
        <w:numPr>
          <w:ilvl w:val="0"/>
          <w:numId w:val="1"/>
        </w:numPr>
        <w:ind w:left="720" w:hanging="360"/>
      </w:pPr>
      <w:r w:rsidDel="00000000" w:rsidR="00000000" w:rsidRPr="00000000">
        <w:rPr>
          <w:rtl w:val="0"/>
        </w:rPr>
        <w:t xml:space="preserve">Battery supplier comparisons are descriptive and do not mathematically control for all potential operational or environmental differences.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Title"/>
        <w:rPr/>
      </w:pPr>
      <w:bookmarkStart w:colFirst="0" w:colLast="0" w:name="_oqfnktpvu3y8" w:id="14"/>
      <w:bookmarkEnd w:id="14"/>
      <w:r w:rsidDel="00000000" w:rsidR="00000000" w:rsidRPr="00000000">
        <w:rPr>
          <w:rtl w:val="0"/>
        </w:rPr>
        <w:t xml:space="preserve">7. CONCLUSION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VoltRelay has demonstrated highly impressive commercial growth in network activity and revenue over the last 18 months. However, this analysis reveals that operational reliability has struggled to scale seamlessly alongside demand.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Battery availability, station-level variability, aging charger generations, declining battery health, and early rider experience emerged as the most critical operational bottlenecks. As VoltRelay continues its expansion, the recommended strategic focus must shift toward securing service reliability and equipment health, all while closely monitoring localized pricing variations, partner economics, and long-term rider retention.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VoltRelay Energy – Data Analytics Hackathon</w:t>
      </w:r>
      <w:r w:rsidDel="00000000" w:rsidR="00000000" w:rsidRPr="00000000">
        <w:rPr>
          <w:rtl w:val="0"/>
        </w:rPr>
        <w:t xml:space="preserve"> | Prepared by: Raja Mandal</w:t>
      </w:r>
    </w:p>
    <w:p w:rsidR="00000000" w:rsidDel="00000000" w:rsidP="00000000" w:rsidRDefault="00000000" w:rsidRPr="00000000" w14:paraId="000000C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0f172a"/>
      <w:sz w:val="30"/>
      <w:szCs w:val="30"/>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1e293b"/>
      <w:sz w:val="26"/>
      <w:szCs w:val="26"/>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334155"/>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2563eb"/>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