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ARES PdM — Paper Change List &amp; Marking Guidance</w:t>
      </w:r>
    </w:p>
    <w:p>
      <w:r>
        <w:rPr>
          <w:b w:val="0"/>
          <w:i/>
        </w:rPr>
        <w:t>Companion to "Swarnim Mandal Dissertation Final.docx". Generated to reconcile the dissertation with the actual codebase.</w:t>
      </w:r>
    </w:p>
    <w:p>
      <w:r>
        <w:rPr>
          <w:b/>
          <w:i w:val="0"/>
        </w:rPr>
        <w:t>Division of labour:</w:t>
      </w:r>
    </w:p>
    <w:p>
      <w:r>
        <w:rPr>
          <w:b w:val="0"/>
          <w:i w:val="0"/>
        </w:rPr>
        <w:t>•  PART 1 = edits YOU make in the .docx (each is a find-and-replace). These are tied to your locked, internally-consistent headline numbers; fixing them in code would force a full retrain and change every reported figure — the wrong move before submission.</w:t>
      </w:r>
    </w:p>
    <w:p>
      <w:r>
        <w:rPr>
          <w:b w:val="0"/>
          <w:i w:val="0"/>
        </w:rPr>
        <w:t>•  PART 2 = changes ALREADY MADE IN CODE by Claude. No paper action needed; the listed sentences are now TRUE. Just verify.</w:t>
      </w:r>
    </w:p>
    <w:p>
      <w:r>
        <w:rPr>
          <w:b w:val="0"/>
          <w:i w:val="0"/>
        </w:rPr>
        <w:t>•  PARTS 3–5 = recommended additions (maths, figures, tables, appendix) that materially affect MSc marking.</w:t>
      </w:r>
    </w:p>
    <w:p>
      <w:r>
        <w:rPr>
          <w:b w:val="0"/>
          <w:i/>
        </w:rPr>
        <w:t>Confirmed unchanged after all code edits: C-MAPSS Transformer RMSE 16.40 / Score 4073.9; UAV Transformer RMSE 3.45 / Fault Acc 0.955; all six rows of results.json identical to your two tables.</w:t>
      </w:r>
    </w:p>
    <w:p>
      <w:pPr>
        <w:pStyle w:val="Heading1"/>
      </w:pPr>
      <w:r>
        <w:t>PART 1 — Edits you must make in the dissertation</w:t>
      </w:r>
    </w:p>
    <w:p>
      <w:r>
        <w:rPr>
          <w:b w:val="0"/>
          <w:i/>
        </w:rPr>
        <w:t>Use Ctrl-F with the FIND text. Some apostrophes are curly in your document; if Ctrl-F fails, search a shorter distinctive fragment.</w:t>
      </w:r>
    </w:p>
    <w:p>
      <w:pPr>
        <w:pStyle w:val="Heading2"/>
      </w:pPr>
      <w:r>
        <w:t>A. Fault-loss weight: 0.5 → 0.4 (THREE places)</w:t>
      </w:r>
    </w:p>
    <w:p>
      <w:r>
        <w:rPr>
          <w:b w:val="0"/>
          <w:i w:val="0"/>
        </w:rPr>
        <w:t>Your UAV models were trained with a classification-loss weight of 0.4 (ml/train.py). The paper says 0.5 in three spots. Your locked UAV numbers came from 0.4, so the paper must say 0.4.</w:t>
      </w:r>
    </w:p>
    <w:p>
      <w:r>
        <w:rPr>
          <w:b/>
          <w:sz w:val="22"/>
        </w:rPr>
        <w:t xml:space="preserve">A1  </w:t>
      </w:r>
      <w:r>
        <w:rPr>
          <w:i/>
          <w:color w:val="B03030"/>
        </w:rPr>
        <w:t xml:space="preserve">[Required]  </w:t>
      </w:r>
      <w:r>
        <w:rPr>
          <w:i/>
        </w:rPr>
        <w:t>§4.3 Training Protocol</w:t>
      </w:r>
    </w:p>
    <w:p>
      <w:r>
        <w:rPr>
          <w:b/>
        </w:rPr>
        <w:t xml:space="preserve">FIND: </w:t>
      </w:r>
      <w:r>
        <w:rPr>
          <w:color w:val="804000"/>
        </w:rPr>
        <w:t>“the joint loss is the regression loss plus the classification loss weighted by 0.5.”</w:t>
      </w:r>
    </w:p>
    <w:p>
      <w:r>
        <w:rPr>
          <w:b/>
        </w:rPr>
        <w:t xml:space="preserve">REPLACE WITH: </w:t>
      </w:r>
      <w:r>
        <w:rPr>
          <w:color w:val="105010"/>
        </w:rPr>
        <w:t>“the joint loss is the regression loss plus the classification loss weighted by 0.4.”</w:t>
      </w:r>
    </w:p>
    <w:p>
      <w:r>
        <w:rPr>
          <w:b/>
        </w:rPr>
        <w:t xml:space="preserve">Why: </w:t>
      </w:r>
      <w:r>
        <w:t>Code uses fault_loss_w = 0.4; the reported 3.45 RMSE / 95.5% accuracy were produced with 0.4.</w:t>
      </w:r>
    </w:p>
    <w:p/>
    <w:p>
      <w:r>
        <w:rPr>
          <w:b/>
          <w:sz w:val="22"/>
        </w:rPr>
        <w:t xml:space="preserve">A2  </w:t>
      </w:r>
      <w:r>
        <w:rPr>
          <w:i/>
          <w:color w:val="B03030"/>
        </w:rPr>
        <w:t xml:space="preserve">[Required]  </w:t>
      </w:r>
      <w:r>
        <w:rPr>
          <w:i/>
        </w:rPr>
        <w:t>§4.4 (training-protocol prose, "you apply cross entropy on the fault classification head")</w:t>
      </w:r>
    </w:p>
    <w:p>
      <w:r>
        <w:rPr>
          <w:b/>
        </w:rPr>
        <w:t xml:space="preserve">FIND: </w:t>
      </w:r>
      <w:r>
        <w:rPr>
          <w:color w:val="804000"/>
        </w:rPr>
        <w:t>“it’s weighted at 0.5, then mixed with the regression loss.”</w:t>
      </w:r>
    </w:p>
    <w:p>
      <w:r>
        <w:rPr>
          <w:b/>
        </w:rPr>
        <w:t xml:space="preserve">REPLACE WITH: </w:t>
      </w:r>
      <w:r>
        <w:rPr>
          <w:color w:val="105010"/>
        </w:rPr>
        <w:t>“it’s weighted at 0.4, then mixed with the regression loss.”</w:t>
      </w:r>
    </w:p>
    <w:p>
      <w:r>
        <w:rPr>
          <w:b/>
        </w:rPr>
        <w:t xml:space="preserve">Why: </w:t>
      </w:r>
      <w:r>
        <w:t>Same constant restated; keep consistent.</w:t>
      </w:r>
    </w:p>
    <w:p/>
    <w:p>
      <w:r>
        <w:rPr>
          <w:b/>
          <w:sz w:val="22"/>
        </w:rPr>
        <w:t xml:space="preserve">A3  </w:t>
      </w:r>
      <w:r>
        <w:rPr>
          <w:i/>
          <w:color w:val="B03030"/>
        </w:rPr>
        <w:t xml:space="preserve">[Required]  </w:t>
      </w:r>
      <w:r>
        <w:rPr>
          <w:i/>
        </w:rPr>
        <w:t>§6.2 Quantitative Results: Synthesized UAV Fleets</w:t>
      </w:r>
    </w:p>
    <w:p>
      <w:r>
        <w:rPr>
          <w:b/>
        </w:rPr>
        <w:t xml:space="preserve">FIND: </w:t>
      </w:r>
      <w:r>
        <w:rPr>
          <w:color w:val="804000"/>
        </w:rPr>
        <w:t>“the RMSE part is weighted at 1.0, and the cross-entropy fault part gets 0.5.”</w:t>
      </w:r>
    </w:p>
    <w:p>
      <w:r>
        <w:rPr>
          <w:b/>
        </w:rPr>
        <w:t xml:space="preserve">REPLACE WITH: </w:t>
      </w:r>
      <w:r>
        <w:rPr>
          <w:color w:val="105010"/>
        </w:rPr>
        <w:t>“the RMSE part is weighted at 1.0, and the cross-entropy fault part gets 0.4.”</w:t>
      </w:r>
    </w:p>
    <w:p>
      <w:r>
        <w:rPr>
          <w:b/>
        </w:rPr>
        <w:t xml:space="preserve">Why: </w:t>
      </w:r>
      <w:r>
        <w:t>Same constant restated in Results; keep consistent.</w:t>
      </w:r>
    </w:p>
    <w:p/>
    <w:p>
      <w:pPr>
        <w:pStyle w:val="Heading2"/>
      </w:pPr>
      <w:r>
        <w:t>B. "No early stopping / final-epoch state" → best-validation checkpoint</w:t>
      </w:r>
    </w:p>
    <w:p>
      <w:r>
        <w:rPr>
          <w:b w:val="0"/>
          <w:i w:val="0"/>
        </w:rPr>
        <w:t>The code does NOT use the final-epoch weights — it saves and reloads the checkpoint with the lowest validation RMSE. I checked all six histories: 2 of 6 do not peak at the final epoch (C-MAPSS Transformer peaks at epoch 39, not 40; UAV-LSTM at epoch 28, not 30). Your headline 16.40 came from epoch-39 weights. The text must describe checkpoint selection.</w:t>
      </w:r>
    </w:p>
    <w:p>
      <w:r>
        <w:rPr>
          <w:b/>
          <w:sz w:val="22"/>
        </w:rPr>
        <w:t xml:space="preserve">B1  </w:t>
      </w:r>
      <w:r>
        <w:rPr>
          <w:i/>
          <w:color w:val="B03030"/>
        </w:rPr>
        <w:t xml:space="preserve">[Required]  </w:t>
      </w:r>
      <w:r>
        <w:rPr>
          <w:i/>
        </w:rPr>
        <w:t>§4.3 Training Protocol</w:t>
      </w:r>
    </w:p>
    <w:p>
      <w:r>
        <w:rPr>
          <w:b/>
        </w:rPr>
        <w:t xml:space="preserve">FIND: </w:t>
      </w:r>
      <w:r>
        <w:rPr>
          <w:color w:val="804000"/>
        </w:rPr>
        <w:t>“There is no early stopping: the cosine schedule decays the learning rate to zero at the final epoch, and the model state at that final epoch is the one used for evaluation.”</w:t>
      </w:r>
    </w:p>
    <w:p>
      <w:r>
        <w:rPr>
          <w:b/>
        </w:rPr>
        <w:t xml:space="preserve">REPLACE WITH: </w:t>
      </w:r>
      <w:r>
        <w:rPr>
          <w:color w:val="105010"/>
        </w:rPr>
        <w:t>“Rather than applying explicit early stopping, the checkpoint with the lowest validation RMSE is retained for evaluation. Because the cosine schedule decays the learning rate to zero, validation RMSE improves almost monotonically, so in practice the retained checkpoint coincides with — or falls within one to two epochs of — the final epoch.”</w:t>
      </w:r>
    </w:p>
    <w:p>
      <w:r>
        <w:rPr>
          <w:b/>
        </w:rPr>
        <w:t xml:space="preserve">Why: </w:t>
      </w:r>
      <w:r>
        <w:t>Code path saves best_state on lowest val-RMSE and reloads it before evaluation.</w:t>
      </w:r>
    </w:p>
    <w:p/>
    <w:p>
      <w:r>
        <w:rPr>
          <w:b/>
          <w:sz w:val="22"/>
        </w:rPr>
        <w:t xml:space="preserve">B2  </w:t>
      </w:r>
      <w:r>
        <w:rPr>
          <w:i/>
          <w:color w:val="B03030"/>
        </w:rPr>
        <w:t xml:space="preserve">[Required]  </w:t>
      </w:r>
      <w:r>
        <w:rPr>
          <w:i/>
        </w:rPr>
        <w:t>§4.4 (prose "mostly monotonic decay down to 0 by the last epoch")</w:t>
      </w:r>
    </w:p>
    <w:p>
      <w:r>
        <w:rPr>
          <w:b/>
        </w:rPr>
        <w:t xml:space="preserve">FIND: </w:t>
      </w:r>
      <w:r>
        <w:rPr>
          <w:color w:val="804000"/>
        </w:rPr>
        <w:t>“you can just take the final model state, the naturally converged checkpoint, and use it straight as the evaluation artefact.”</w:t>
      </w:r>
    </w:p>
    <w:p>
      <w:r>
        <w:rPr>
          <w:b/>
        </w:rPr>
        <w:t xml:space="preserve">REPLACE WITH: </w:t>
      </w:r>
      <w:r>
        <w:rPr>
          <w:color w:val="105010"/>
        </w:rPr>
        <w:t>“the checkpoint with the lowest validation RMSE is retained as the evaluation artefact, which sits at or within one–two epochs of the final epoch.”</w:t>
      </w:r>
    </w:p>
    <w:p>
      <w:r>
        <w:rPr>
          <w:b/>
        </w:rPr>
        <w:t xml:space="preserve">Why: </w:t>
      </w:r>
      <w:r>
        <w:t>Aligns the informal restatement with the actual checkpoint-selection logic.</w:t>
      </w:r>
    </w:p>
    <w:p/>
    <w:p>
      <w:r>
        <w:rPr>
          <w:b/>
          <w:sz w:val="22"/>
        </w:rPr>
        <w:t xml:space="preserve">B3  </w:t>
      </w:r>
      <w:r>
        <w:rPr>
          <w:i/>
          <w:color w:val="B03030"/>
        </w:rPr>
        <w:t xml:space="preserve">[Required]  </w:t>
      </w:r>
      <w:r>
        <w:rPr>
          <w:i/>
        </w:rPr>
        <w:t>§6.1 Quantitative Results C-MAPSS</w:t>
      </w:r>
    </w:p>
    <w:p>
      <w:r>
        <w:rPr>
          <w:b/>
        </w:rPr>
        <w:t xml:space="preserve">FIND: </w:t>
      </w:r>
      <w:r>
        <w:rPr>
          <w:color w:val="804000"/>
        </w:rPr>
        <w:t>“all three models attain their lowest validation RMSE at the final epoch under the cosine-annealing schedule, with no pronounced early plateau. This supports the decision to forgo early stopping.”</w:t>
      </w:r>
    </w:p>
    <w:p>
      <w:r>
        <w:rPr>
          <w:b/>
        </w:rPr>
        <w:t xml:space="preserve">REPLACE WITH: </w:t>
      </w:r>
      <w:r>
        <w:rPr>
          <w:color w:val="105010"/>
        </w:rPr>
        <w:t>“all three models attain their lowest validation RMSE at or within one–two epochs of the final epoch under the cosine-annealing schedule, with no pronounced early plateau. This supports retaining the best-validation checkpoint rather than applying aggressive early stopping.”</w:t>
      </w:r>
    </w:p>
    <w:p>
      <w:r>
        <w:rPr>
          <w:b/>
        </w:rPr>
        <w:t xml:space="preserve">Why: </w:t>
      </w:r>
      <w:r>
        <w:t>Empirically the Transformer best epoch is 39 of 40, so "at the final epoch" is not literally true.</w:t>
      </w:r>
    </w:p>
    <w:p/>
    <w:p>
      <w:pPr>
        <w:pStyle w:val="Heading2"/>
      </w:pPr>
      <w:r>
        <w:t>C. (No paper edit — fixed in code) Captum</w:t>
      </w:r>
    </w:p>
    <w:p>
      <w:r>
        <w:rPr>
          <w:b w:val="0"/>
          <w:i/>
        </w:rPr>
        <w:t>Your §4.4.2 says Integrated Gradients was "implemented in the Captum library." The code previously hand-rolled IG. I have wired in the real Captum library (captum.attr.IntegratedGradients) and re-baked. Your sentence is now TRUE — leave it as written. Detail in PART 2.</w:t>
      </w:r>
    </w:p>
    <w:p>
      <w:pPr>
        <w:pStyle w:val="Heading2"/>
      </w:pPr>
      <w:r>
        <w:t>D. UAV window stride: "one timestep" → five</w:t>
      </w:r>
    </w:p>
    <w:p>
      <w:r>
        <w:rPr>
          <w:b/>
          <w:sz w:val="22"/>
        </w:rPr>
        <w:t xml:space="preserve">D1  </w:t>
      </w:r>
      <w:r>
        <w:rPr>
          <w:i/>
          <w:color w:val="B03030"/>
        </w:rPr>
        <w:t xml:space="preserve">[Required]  </w:t>
      </w:r>
      <w:r>
        <w:rPr>
          <w:i/>
        </w:rPr>
        <w:t>§4.1.2 Synthesized UAV Fleet (the windowing paragraph)</w:t>
      </w:r>
    </w:p>
    <w:p>
      <w:r>
        <w:rPr>
          <w:b/>
        </w:rPr>
        <w:t xml:space="preserve">FIND: </w:t>
      </w:r>
      <w:r>
        <w:rPr>
          <w:color w:val="804000"/>
        </w:rPr>
        <w:t>“Windows are extracted with a stride of one timestep, maximising the number of training examples while preserving the temporal structure of the sensor data.”</w:t>
      </w:r>
    </w:p>
    <w:p>
      <w:r>
        <w:rPr>
          <w:b/>
        </w:rPr>
        <w:t xml:space="preserve">REPLACE WITH: </w:t>
      </w:r>
      <w:r>
        <w:rPr>
          <w:color w:val="105010"/>
        </w:rPr>
        <w:t>“Windows are extracted with a stride of five timesteps (0.5 s), which keeps the dataset tractable while preserving the temporal structure of the sensor data.”</w:t>
      </w:r>
    </w:p>
    <w:p>
      <w:r>
        <w:rPr>
          <w:b/>
        </w:rPr>
        <w:t xml:space="preserve">Why: </w:t>
      </w:r>
      <w:r>
        <w:t>Code uses stride = 5. Your reported counts (301,017 / 85,292 windows) only exist at stride 5 — at stride 1 you would have ~5x more. NOTE: the C-MAPSS stride genuinely IS 1 — do NOT change §4.1.1.</w:t>
      </w:r>
    </w:p>
    <w:p/>
    <w:p>
      <w:pPr>
        <w:pStyle w:val="Heading2"/>
      </w:pPr>
      <w:r>
        <w:t>E. UAV channel count: "21 sensor measurements" → 22</w:t>
      </w:r>
    </w:p>
    <w:p>
      <w:r>
        <w:rPr>
          <w:b/>
          <w:sz w:val="22"/>
        </w:rPr>
        <w:t xml:space="preserve">E1  </w:t>
      </w:r>
      <w:r>
        <w:rPr>
          <w:i/>
          <w:color w:val="B03030"/>
        </w:rPr>
        <w:t xml:space="preserve">[Required]  </w:t>
      </w:r>
      <w:r>
        <w:rPr>
          <w:i/>
        </w:rPr>
        <w:t>§4.1.2 Synthesized UAV Fleet</w:t>
      </w:r>
    </w:p>
    <w:p>
      <w:r>
        <w:rPr>
          <w:b/>
        </w:rPr>
        <w:t xml:space="preserve">FIND: </w:t>
      </w:r>
      <w:r>
        <w:rPr>
          <w:color w:val="804000"/>
        </w:rPr>
        <w:t>“The procedural flight simulator generates 21 sensor measurements at each timestep, sampled at a frequency of 10 Hz.”</w:t>
      </w:r>
    </w:p>
    <w:p>
      <w:r>
        <w:rPr>
          <w:b/>
        </w:rPr>
        <w:t xml:space="preserve">REPLACE WITH: </w:t>
      </w:r>
      <w:r>
        <w:rPr>
          <w:color w:val="105010"/>
        </w:rPr>
        <w:t>“The procedural flight simulator generates 22 sensor channels at each timestep, sampled at a frequency of 10 Hz, alongside a mission-time index (t) and a flight-phase identifier.”</w:t>
      </w:r>
    </w:p>
    <w:p>
      <w:r>
        <w:rPr>
          <w:b/>
        </w:rPr>
        <w:t xml:space="preserve">Why: </w:t>
      </w:r>
      <w:r>
        <w:t>The model input is F = 22 channels (baked UAV assets are 50x22). CAUTION: the C-MAPSS "21 sensor measurements" in §4.1.1 is correct — only change the UAV one.</w:t>
      </w:r>
    </w:p>
    <w:p/>
    <w:p>
      <w:pPr>
        <w:pStyle w:val="Heading2"/>
      </w:pPr>
      <w:r>
        <w:t>F. Table 2 typo: UAV 1D-CNN train time 312.2 → 321.2</w:t>
      </w:r>
    </w:p>
    <w:p>
      <w:r>
        <w:rPr>
          <w:b w:val="0"/>
          <w:i w:val="0"/>
        </w:rPr>
        <w:t>In Table 2 (Synthesized UAV Headline Results), the 1D-CNN "Train Time (s)" cell reads 312.2. The actual value (results.json) is 321.2 — and your own "~3.9x slower" claim only holds with 321.2 (1253.3 / 321.2 = 3.90). Change the cell to 321.2.</w:t>
      </w:r>
    </w:p>
    <w:p/>
    <w:p>
      <w:pPr>
        <w:pStyle w:val="Heading2"/>
      </w:pPr>
      <w:r>
        <w:t>G. Battery internal resistance: "1.6 times" → ~2.6x (a 160% increase)</w:t>
      </w:r>
    </w:p>
    <w:p>
      <w:r>
        <w:rPr>
          <w:b/>
          <w:sz w:val="22"/>
        </w:rPr>
        <w:t xml:space="preserve">G1  </w:t>
      </w:r>
      <w:r>
        <w:rPr>
          <w:i/>
          <w:color w:val="B03030"/>
        </w:rPr>
        <w:t xml:space="preserve">[Required]  </w:t>
      </w:r>
      <w:r>
        <w:rPr>
          <w:i/>
        </w:rPr>
        <w:t>§4.1.2 Synthesized UAV Fleet (fault-progression paragraph)</w:t>
      </w:r>
    </w:p>
    <w:p>
      <w:r>
        <w:rPr>
          <w:b/>
        </w:rPr>
        <w:t xml:space="preserve">FIND: </w:t>
      </w:r>
      <w:r>
        <w:rPr>
          <w:color w:val="804000"/>
        </w:rPr>
        <w:t>“Battery degradation faults are represented by a gradual increase in internal resistance, reaching up to 1.6 times the nominal value by the end of life.”</w:t>
      </w:r>
    </w:p>
    <w:p>
      <w:r>
        <w:rPr>
          <w:b/>
        </w:rPr>
        <w:t xml:space="preserve">REPLACE WITH: </w:t>
      </w:r>
      <w:r>
        <w:rPr>
          <w:color w:val="105010"/>
        </w:rPr>
        <w:t>“Battery degradation faults are represented by a gradual increase in internal resistance, growing by up to 160% of its nominal value (i.e. to roughly 2.6 times nominal) by the end of life.”</w:t>
      </w:r>
    </w:p>
    <w:p>
      <w:r>
        <w:rPr>
          <w:b/>
        </w:rPr>
        <w:t xml:space="preserve">Why: </w:t>
      </w:r>
      <w:r>
        <w:t>Code: R = R0*(1 + 1.6*life_frac) -&gt; 2.6x nominal at end of life. The increase coefficient is 1.6, but the resistance reaches 2.6x nominal.</w:t>
      </w:r>
    </w:p>
    <w:p/>
    <w:p>
      <w:pPr>
        <w:pStyle w:val="Heading2"/>
      </w:pPr>
      <w:r>
        <w:t>K. "predictions_per_arch ... RUL trajectory / overlay" → grouped bar comparison</w:t>
      </w:r>
    </w:p>
    <w:p>
      <w:r>
        <w:rPr>
          <w:b w:val="0"/>
          <w:i w:val="0"/>
        </w:rPr>
        <w:t>predictions_per_arch is a map from architecture -&gt; a single predicted RUL value, rendered as a grouped bar chart against the true RUL (recharts in PerAssetOverlay.tsx; matplotlib bars in figures.py). It is NOT a time-series "trajectory," and UAV assets omit it entirely. Fix the four wordings.</w:t>
      </w:r>
    </w:p>
    <w:p>
      <w:r>
        <w:rPr>
          <w:b/>
          <w:sz w:val="22"/>
        </w:rPr>
        <w:t xml:space="preserve">K1  </w:t>
      </w:r>
      <w:r>
        <w:rPr>
          <w:i/>
          <w:color w:val="B03030"/>
        </w:rPr>
        <w:t xml:space="preserve">[Recommended]  </w:t>
      </w:r>
      <w:r>
        <w:rPr>
          <w:i/>
        </w:rPr>
        <w:t>§5.2 Static Artifact Contract</w:t>
      </w:r>
    </w:p>
    <w:p>
      <w:r>
        <w:rPr>
          <w:b/>
        </w:rPr>
        <w:t xml:space="preserve">FIND: </w:t>
      </w:r>
      <w:r>
        <w:rPr>
          <w:color w:val="804000"/>
        </w:rPr>
        <w:t>“predictions_per_arch which is a map from the architecture name to a RUL trajectory.”</w:t>
      </w:r>
    </w:p>
    <w:p>
      <w:r>
        <w:rPr>
          <w:b/>
        </w:rPr>
        <w:t xml:space="preserve">REPLACE WITH: </w:t>
      </w:r>
      <w:r>
        <w:rPr>
          <w:color w:val="105010"/>
        </w:rPr>
        <w:t>“predictions_per_arch, a map from each architecture name to its single predicted RUL value for the asset (rendered as a grouped bar chart against the true RUL). For UAV assets this field is omitted, since a single served model produces the live prediction.”</w:t>
      </w:r>
    </w:p>
    <w:p>
      <w:r>
        <w:rPr>
          <w:b/>
        </w:rPr>
        <w:t xml:space="preserve">Why: </w:t>
      </w:r>
      <w:r>
        <w:t>Matches the actual scalar-per-arch payload and the UAV omission.</w:t>
      </w:r>
    </w:p>
    <w:p/>
    <w:p>
      <w:r>
        <w:rPr>
          <w:b/>
          <w:sz w:val="22"/>
        </w:rPr>
        <w:t xml:space="preserve">K2  </w:t>
      </w:r>
      <w:r>
        <w:rPr>
          <w:i/>
          <w:color w:val="B03030"/>
        </w:rPr>
        <w:t xml:space="preserve">[Recommended]  </w:t>
      </w:r>
      <w:r>
        <w:rPr>
          <w:i/>
        </w:rPr>
        <w:t>§4.6 Evaluation Methodology (qualitative exhibits list)</w:t>
      </w:r>
    </w:p>
    <w:p>
      <w:r>
        <w:rPr>
          <w:b/>
        </w:rPr>
        <w:t xml:space="preserve">FIND: </w:t>
      </w:r>
      <w:r>
        <w:rPr>
          <w:color w:val="804000"/>
        </w:rPr>
        <w:t>“the per-architecture RUL prediction overlay against the ground-truth trajectory in the Lab view”</w:t>
      </w:r>
    </w:p>
    <w:p>
      <w:r>
        <w:rPr>
          <w:b/>
        </w:rPr>
        <w:t xml:space="preserve">REPLACE WITH: </w:t>
      </w:r>
      <w:r>
        <w:rPr>
          <w:color w:val="105010"/>
        </w:rPr>
        <w:t>“the per-architecture predicted-RUL bar comparison against the true RUL in the Lab view”</w:t>
      </w:r>
    </w:p>
    <w:p>
      <w:r>
        <w:rPr>
          <w:b/>
        </w:rPr>
        <w:t xml:space="preserve">Why: </w:t>
      </w:r>
      <w:r>
        <w:t>Same wording fix.</w:t>
      </w:r>
    </w:p>
    <w:p/>
    <w:p>
      <w:r>
        <w:rPr>
          <w:b/>
          <w:sz w:val="22"/>
        </w:rPr>
        <w:t xml:space="preserve">K3  </w:t>
      </w:r>
      <w:r>
        <w:rPr>
          <w:i/>
          <w:color w:val="B03030"/>
        </w:rPr>
        <w:t xml:space="preserve">[Recommended]  </w:t>
      </w:r>
      <w:r>
        <w:rPr>
          <w:i/>
        </w:rPr>
        <w:t>§6.4 Qualitative Results Dashboard Surfaces</w:t>
      </w:r>
    </w:p>
    <w:p>
      <w:r>
        <w:rPr>
          <w:b/>
        </w:rPr>
        <w:t xml:space="preserve">FIND: </w:t>
      </w:r>
      <w:r>
        <w:rPr>
          <w:color w:val="804000"/>
        </w:rPr>
        <w:t>“The third one is the per architecture RUL predictions plotted against ground truth which is displayed on the lab view's per asset overlay.”</w:t>
      </w:r>
    </w:p>
    <w:p>
      <w:r>
        <w:rPr>
          <w:b/>
        </w:rPr>
        <w:t xml:space="preserve">REPLACE WITH: </w:t>
      </w:r>
      <w:r>
        <w:rPr>
          <w:color w:val="105010"/>
        </w:rPr>
        <w:t>“The third is a per-architecture comparison of each model's predicted RUL against the true RUL, shown as a grouped bar chart in the Lab view's per-asset panel.”</w:t>
      </w:r>
    </w:p>
    <w:p>
      <w:r>
        <w:rPr>
          <w:b/>
        </w:rPr>
        <w:t xml:space="preserve">Why: </w:t>
      </w:r>
      <w:r>
        <w:t>Same wording fix.</w:t>
      </w:r>
    </w:p>
    <w:p/>
    <w:p>
      <w:r>
        <w:rPr>
          <w:b/>
          <w:sz w:val="22"/>
        </w:rPr>
        <w:t xml:space="preserve">K4  </w:t>
      </w:r>
      <w:r>
        <w:rPr>
          <w:i/>
          <w:color w:val="B03030"/>
        </w:rPr>
        <w:t xml:space="preserve">[Recommended]  </w:t>
      </w:r>
      <w:r>
        <w:rPr>
          <w:i/>
        </w:rPr>
        <w:t>§5.5 The Dashboard (Lab view description)</w:t>
      </w:r>
    </w:p>
    <w:p>
      <w:r>
        <w:rPr>
          <w:b/>
        </w:rPr>
        <w:t xml:space="preserve">FIND: </w:t>
      </w:r>
      <w:r>
        <w:rPr>
          <w:color w:val="804000"/>
        </w:rPr>
        <w:t>“A per-asset prediction overlay panel (PerAssetOverlay.tsx) lets the user select any asset and overlay the trained architectures’ predictions against the ground-truth RUL trajectory.”</w:t>
      </w:r>
    </w:p>
    <w:p>
      <w:r>
        <w:rPr>
          <w:b/>
        </w:rPr>
        <w:t xml:space="preserve">REPLACE WITH: </w:t>
      </w:r>
      <w:r>
        <w:rPr>
          <w:color w:val="105010"/>
        </w:rPr>
        <w:t>“A per-asset prediction panel (PerAssetOverlay.tsx) lets the user select any asset and compare the trained architectures’ predicted RUL values against the true RUL as a grouped bar chart (all three architectures for C-MAPSS assets; the single served model for UAV assets).”</w:t>
      </w:r>
    </w:p>
    <w:p>
      <w:r>
        <w:rPr>
          <w:b/>
        </w:rPr>
        <w:t xml:space="preserve">Why: </w:t>
      </w:r>
      <w:r>
        <w:t>Same wording fix + records the C-MAPSS/UAV difference.</w:t>
      </w:r>
    </w:p>
    <w:p/>
    <w:p>
      <w:r>
        <w:br w:type="page"/>
      </w:r>
    </w:p>
    <w:p>
      <w:pPr>
        <w:pStyle w:val="Heading1"/>
      </w:pPr>
      <w:r>
        <w:t>PART 2 — Changes already made in the code by Claude (verify only)</w:t>
      </w:r>
    </w:p>
    <w:p>
      <w:r>
        <w:rPr>
          <w:b w:val="0"/>
          <w:i w:val="0"/>
        </w:rPr>
        <w:t>These make the relevant paper sentences TRUE without changing any reported metric. results.json is byte-for-byte identical; only the qualitative XAI bar charts were re-baked.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Item</w:t>
            </w:r>
          </w:p>
        </w:tc>
        <w:tc>
          <w:tcPr>
            <w:tcW w:type="dxa" w:w="2160"/>
          </w:tcPr>
          <w:p>
            <w:r/>
            <w:r>
              <w:rPr>
                <w:b/>
              </w:rPr>
              <w:t>File(s)</w:t>
            </w:r>
          </w:p>
        </w:tc>
        <w:tc>
          <w:tcPr>
            <w:tcW w:type="dxa" w:w="2160"/>
          </w:tcPr>
          <w:p>
            <w:r/>
            <w:r>
              <w:rPr>
                <w:b/>
              </w:rPr>
              <w:t>What changed</w:t>
            </w:r>
          </w:p>
        </w:tc>
        <w:tc>
          <w:tcPr>
            <w:tcW w:type="dxa" w:w="2160"/>
          </w:tcPr>
          <w:p>
            <w:r/>
            <w:r>
              <w:rPr>
                <w:b/>
              </w:rPr>
              <w:t>Paper sentence now true</w:t>
            </w:r>
          </w:p>
        </w:tc>
      </w:tr>
      <w:tr>
        <w:tc>
          <w:tcPr>
            <w:tcW w:type="dxa" w:w="2160"/>
          </w:tcPr>
          <w:p>
            <w:r>
              <w:t>C — Captum</w:t>
            </w:r>
          </w:p>
        </w:tc>
        <w:tc>
          <w:tcPr>
            <w:tcW w:type="dxa" w:w="2160"/>
          </w:tcPr>
          <w:p>
            <w:r>
              <w:t>ml/xai.py</w:t>
            </w:r>
          </w:p>
        </w:tc>
        <w:tc>
          <w:tcPr>
            <w:tcW w:type="dxa" w:w="2160"/>
          </w:tcPr>
          <w:p>
            <w:r>
              <w:t>integrated_gradients() now calls captum.attr.IntegratedGradients (zero baseline, n_steps=32) instead of a hand-rolled loop.</w:t>
            </w:r>
          </w:p>
        </w:tc>
        <w:tc>
          <w:tcPr>
            <w:tcW w:type="dxa" w:w="2160"/>
          </w:tcPr>
          <w:p>
            <w:r>
              <w:t>§4.4.2 "implemented in the Captum library"</w:t>
            </w:r>
          </w:p>
        </w:tc>
      </w:tr>
      <w:tr>
        <w:tc>
          <w:tcPr>
            <w:tcW w:type="dxa" w:w="2160"/>
          </w:tcPr>
          <w:p>
            <w:r>
              <w:t>J — Transformer IG</w:t>
            </w:r>
          </w:p>
        </w:tc>
        <w:tc>
          <w:tcPr>
            <w:tcW w:type="dxa" w:w="2160"/>
          </w:tcPr>
          <w:p>
            <w:r>
              <w:t>ml/export.py</w:t>
            </w:r>
          </w:p>
        </w:tc>
        <w:tc>
          <w:tcPr>
            <w:tcW w:type="dxa" w:w="2160"/>
          </w:tcPr>
          <w:p>
            <w:r>
              <w:t>C-MAPSS per-asset sensor-importance now computed from the Transformer (was the LSTM); UAV already used the Transformer.</w:t>
            </w:r>
          </w:p>
        </w:tc>
        <w:tc>
          <w:tcPr>
            <w:tcW w:type="dxa" w:w="2160"/>
          </w:tcPr>
          <w:p>
            <w:r>
              <w:t>§4.4.2 "To improve the interpretability of the Transformer model"</w:t>
            </w:r>
          </w:p>
        </w:tc>
      </w:tr>
      <w:tr>
        <w:tc>
          <w:tcPr>
            <w:tcW w:type="dxa" w:w="2160"/>
          </w:tcPr>
          <w:p>
            <w:r>
              <w:t>L — Backend default</w:t>
            </w:r>
          </w:p>
        </w:tc>
        <w:tc>
          <w:tcPr>
            <w:tcW w:type="dxa" w:w="2160"/>
          </w:tcPr>
          <w:p>
            <w:r>
              <w:t>backend/main.py, synth_stream.py</w:t>
            </w:r>
          </w:p>
        </w:tc>
        <w:tc>
          <w:tcPr>
            <w:tcW w:type="dxa" w:w="2160"/>
          </w:tcPr>
          <w:p>
            <w:r>
              <w:t>WS default hours 80-&gt;3 and docstring range 0..200-&gt;0..4 (EOL=4 h), so a raw API call no longer saturates life_frac=1. The dashboard slider already clamped 0–4, so the demo was never affected.</w:t>
            </w:r>
          </w:p>
        </w:tc>
        <w:tc>
          <w:tcPr>
            <w:tcW w:type="dxa" w:w="2160"/>
          </w:tcPr>
          <w:p>
            <w:r>
              <w:t>§4.5 "hours selects the simulated cumulative-flight-hours-into-life"</w:t>
            </w:r>
          </w:p>
        </w:tc>
      </w:tr>
      <w:tr>
        <w:tc>
          <w:tcPr>
            <w:tcW w:type="dxa" w:w="2160"/>
          </w:tcPr>
          <w:p>
            <w:r>
              <w:t>M — Makefile alias</w:t>
            </w:r>
          </w:p>
        </w:tc>
        <w:tc>
          <w:tcPr>
            <w:tcW w:type="dxa" w:w="2160"/>
          </w:tcPr>
          <w:p>
            <w:r>
              <w:t>Makefile</w:t>
            </w:r>
          </w:p>
        </w:tc>
        <w:tc>
          <w:tcPr>
            <w:tcW w:type="dxa" w:w="2160"/>
          </w:tcPr>
          <w:p>
            <w:r>
              <w:t>Added a train-UAV alias so the command printed in §5.1 runs verbatim.</w:t>
            </w:r>
          </w:p>
        </w:tc>
        <w:tc>
          <w:tcPr>
            <w:tcW w:type="dxa" w:w="2160"/>
          </w:tcPr>
          <w:p>
            <w:r>
              <w:t>§5.1 "make train-UAV for the UAV only subset"</w:t>
            </w:r>
          </w:p>
        </w:tc>
      </w:tr>
    </w:tbl>
    <w:p/>
    <w:p>
      <w:r>
        <w:rPr>
          <w:b w:val="0"/>
          <w:i/>
        </w:rPr>
        <w:t>Re-bake performed: python -m ml.export then python -m ml.figures. To pick up the new IG in the live backend, restart it (pkill -f "uvicorn backend.main" &amp;&amp; make backend).</w:t>
      </w:r>
    </w:p>
    <w:p>
      <w:r>
        <w:br w:type="page"/>
      </w:r>
    </w:p>
    <w:p>
      <w:pPr>
        <w:pStyle w:val="Heading1"/>
      </w:pPr>
      <w:r>
        <w:t>PART 3 — Mathematical formalism to ADD (step-by-step placement)</w:t>
      </w:r>
    </w:p>
    <w:p>
      <w:r>
        <w:rPr>
          <w:b w:val="0"/>
          <w:i w:val="0"/>
        </w:rPr>
        <w:t>Does the lack of maths affect marking? Yes — at MSc level the methodology and results are graded partly on technical rigour. None of this needs new experiments: every equation below is already implemented in your code, so adding it makes the paper MORE accurate. Work straight down this list — it follows your document order, top to bottom. 13 equations go in the main body (numbered 4.1–4.13); 3 go in the appendix (A.1–A.3).</w:t>
      </w:r>
    </w:p>
    <w:p>
      <w:r>
        <w:rPr>
          <w:b/>
          <w:i w:val="0"/>
        </w:rPr>
        <w:t>HOW TO INSERT ONE EQUATION IN WORD (the same move every time):</w:t>
      </w:r>
    </w:p>
    <w:p>
      <w:r>
        <w:rPr>
          <w:b w:val="0"/>
          <w:i w:val="0"/>
        </w:rPr>
        <w:t>1.  Put the cursor on a new empty line, just after the lead-in sentence.</w:t>
      </w:r>
    </w:p>
    <w:p>
      <w:r>
        <w:rPr>
          <w:b w:val="0"/>
          <w:i w:val="0"/>
        </w:rPr>
        <w:t>2.  Insert &gt; Equation  (shortcut: Alt+= on Windows, Control+= on Mac). An empty equation box appears.</w:t>
      </w:r>
    </w:p>
    <w:p>
      <w:r>
        <w:rPr>
          <w:b w:val="0"/>
          <w:i w:val="0"/>
        </w:rPr>
        <w:t>3.  In the Equation tab that opens, click the "LaTeX" toggle (top-right; Word 2016 / Microsoft 365).</w:t>
      </w:r>
    </w:p>
    <w:p>
      <w:r>
        <w:rPr>
          <w:b w:val="0"/>
          <w:i w:val="0"/>
        </w:rPr>
        <w:t>4.  Paste the LaTeX line shown under each equation, then press Enter (or click outside the box).</w:t>
      </w:r>
    </w:p>
    <w:p>
      <w:r>
        <w:rPr>
          <w:b w:val="0"/>
          <w:i w:val="0"/>
        </w:rPr>
        <w:t>5.  Optional numbering: after the equation, press Tab and type (4.1), (4.2)... so you can later cite "Equation (4.3)".</w:t>
      </w:r>
    </w:p>
    <w:p>
      <w:r>
        <w:rPr>
          <w:b w:val="0"/>
          <w:i/>
        </w:rPr>
        <w:t>If a symbol fails to render in older Mac Word, paste the plain line (shown above each LaTeX line) instead — it displays as-is. The LaTeX below already avoids the two commands that most often fail (\mathbb and \begin{cases}).</w:t>
      </w:r>
    </w:p>
    <w:p>
      <w:pPr>
        <w:pStyle w:val="Heading2"/>
      </w:pPr>
      <w:r>
        <w:t>Stop 1 — put these in §4.1.1 "Nasa C-MAPPS"  (MAIN BODY)</w:t>
      </w:r>
    </w:p>
    <w:p>
      <w:r>
        <w:rPr>
          <w:b/>
        </w:rPr>
        <w:t xml:space="preserve">Eq (4.1)  z-score normalisation   </w:t>
      </w:r>
      <w:r>
        <w:rPr>
          <w:i/>
          <w:color w:val="A06600"/>
          <w:sz w:val="18"/>
        </w:rPr>
        <w:t>[Recommended]</w:t>
      </w:r>
    </w:p>
    <w:p>
      <w:r>
        <w:rPr>
          <w:b/>
        </w:rPr>
        <w:t xml:space="preserve">Lead-in to type first:  </w:t>
      </w:r>
      <w:r>
        <w:rPr>
          <w:i/>
        </w:rPr>
        <w:t>Each sensor channel is standardised within its operating-condition cluster c using a z-score transform:</w:t>
      </w:r>
    </w:p>
    <w:p>
      <w:pPr>
        <w:jc w:val="center"/>
      </w:pPr>
      <w:r>
        <w:rPr>
          <w:rFonts w:ascii="Cambria Math" w:hAnsi="Cambria Math"/>
          <w:sz w:val="22"/>
        </w:rPr>
        <w:t>x̃ = (x − μ_c) / σ_c</w:t>
      </w:r>
    </w:p>
    <w:p>
      <w:r>
        <w:rPr>
          <w:i/>
          <w:color w:val="606060"/>
          <w:sz w:val="17"/>
        </w:rPr>
        <w:t>LaTeX:  \tilde{x}=\frac{x-\mu_c}{\sigma_c}</w:t>
      </w:r>
    </w:p>
    <w:p>
      <w:r>
        <w:rPr>
          <w:b/>
        </w:rPr>
        <w:t xml:space="preserve">Eq (4.2)  C-MAPSS RUL target   </w:t>
      </w:r>
      <w:r>
        <w:rPr>
          <w:i/>
          <w:color w:val="B03030"/>
          <w:sz w:val="18"/>
        </w:rPr>
        <w:t>[Required]</w:t>
      </w:r>
    </w:p>
    <w:p>
      <w:r>
        <w:rPr>
          <w:b/>
        </w:rPr>
        <w:t xml:space="preserve">Lead-in to type first:  </w:t>
      </w:r>
      <w:r>
        <w:rPr>
          <w:i/>
        </w:rPr>
        <w:t>The regression target is the piecewise-linear RUL of Heimes (2008), capped at 125 cycles:</w:t>
      </w:r>
    </w:p>
    <w:p>
      <w:pPr>
        <w:jc w:val="center"/>
      </w:pPr>
      <w:r>
        <w:rPr>
          <w:rFonts w:ascii="Cambria Math" w:hAnsi="Cambria Math"/>
          <w:sz w:val="22"/>
        </w:rPr>
        <w:t>R(t) = min(125,  t_fail − t)</w:t>
      </w:r>
    </w:p>
    <w:p>
      <w:r>
        <w:rPr>
          <w:i/>
          <w:color w:val="606060"/>
          <w:sz w:val="17"/>
        </w:rPr>
        <w:t>LaTeX:  R(t)=\min(125,\; t_{\mathrm{fail}}-t)</w:t>
      </w:r>
    </w:p>
    <w:p>
      <w:r>
        <w:rPr>
          <w:b/>
        </w:rPr>
        <w:t xml:space="preserve">Eq (4.3)  Sliding window   </w:t>
      </w:r>
      <w:r>
        <w:rPr>
          <w:i/>
          <w:color w:val="A06600"/>
          <w:sz w:val="18"/>
        </w:rPr>
        <w:t>[Recommended]</w:t>
      </w:r>
    </w:p>
    <w:p>
      <w:r>
        <w:rPr>
          <w:b/>
        </w:rPr>
        <w:t xml:space="preserve">Lead-in to type first:  </w:t>
      </w:r>
      <w:r>
        <w:rPr>
          <w:i/>
        </w:rPr>
        <w:t>Each input is a sliding window of T consecutive steps over F channels (shape T×F), labelled by the RUL at its final step:</w:t>
      </w:r>
    </w:p>
    <w:p>
      <w:pPr>
        <w:jc w:val="center"/>
      </w:pPr>
      <w:r>
        <w:rPr>
          <w:rFonts w:ascii="Cambria Math" w:hAnsi="Cambria Math"/>
          <w:sz w:val="22"/>
        </w:rPr>
        <w:t>X_i = [x_(t−T+1), …, x_t],   y_i = R(t)</w:t>
      </w:r>
    </w:p>
    <w:p>
      <w:r>
        <w:rPr>
          <w:i/>
          <w:color w:val="606060"/>
          <w:sz w:val="17"/>
        </w:rPr>
        <w:t>LaTeX:  X_i=[x_{t-T+1},\dots,x_t],\qquad y_i=R(t)</w:t>
      </w:r>
    </w:p>
    <w:p>
      <w:pPr>
        <w:pStyle w:val="Heading2"/>
      </w:pPr>
      <w:r>
        <w:t>Stop 2 — put this in §4.1.2 "Synthesized UAV Fleet"  (MAIN BODY)</w:t>
      </w:r>
    </w:p>
    <w:p>
      <w:r>
        <w:rPr>
          <w:b/>
        </w:rPr>
        <w:t xml:space="preserve">Eq (4.4)  UAV RUL / life fraction   </w:t>
      </w:r>
      <w:r>
        <w:rPr>
          <w:i/>
          <w:color w:val="B03030"/>
          <w:sz w:val="18"/>
        </w:rPr>
        <w:t>[Required]</w:t>
      </w:r>
    </w:p>
    <w:p>
      <w:r>
        <w:rPr>
          <w:b/>
        </w:rPr>
        <w:t xml:space="preserve">Lead-in to type first:  </w:t>
      </w:r>
      <w:r>
        <w:rPr>
          <w:i/>
        </w:rPr>
        <w:t>Both fault intensity and the RUL label are driven by a single life fraction l — accumulated flight hours over the end-of-life threshold (EOL = 4 h):</w:t>
      </w:r>
    </w:p>
    <w:p>
      <w:pPr>
        <w:jc w:val="center"/>
      </w:pPr>
      <w:r>
        <w:rPr>
          <w:rFonts w:ascii="Cambria Math" w:hAnsi="Cambria Math"/>
          <w:sz w:val="22"/>
        </w:rPr>
        <w:t>ℓ = clip((h_cum + t/3600) / 4,  0, 1),   R = 100·(1 − ℓ)</w:t>
      </w:r>
    </w:p>
    <w:p>
      <w:r>
        <w:rPr>
          <w:i/>
          <w:color w:val="606060"/>
          <w:sz w:val="17"/>
        </w:rPr>
        <w:t>LaTeX:  \ell=\mathrm{clip}\!\left(\frac{h_{\mathrm{cum}}+t/3600}{4},\,0,\,1\right),\qquad R=100\,(1-\ell)</w:t>
      </w:r>
    </w:p>
    <w:p>
      <w:r>
        <w:rPr>
          <w:b w:val="0"/>
          <w:i/>
        </w:rPr>
        <w:t>This is the equation §7.2 refers back to when discussing the END_OF_LIFE_HOURS = 4.0 calibration — worth labelling so you can cite it there.</w:t>
      </w:r>
    </w:p>
    <w:p>
      <w:pPr>
        <w:pStyle w:val="Heading2"/>
      </w:pPr>
      <w:r>
        <w:t>Stop 3 — put these in §4.2.3 "Transformer Encoder"  (MAIN BODY)</w:t>
      </w:r>
    </w:p>
    <w:p>
      <w:r>
        <w:rPr>
          <w:b/>
        </w:rPr>
        <w:t xml:space="preserve">Eq (4.5)  Scaled dot-product attention   </w:t>
      </w:r>
      <w:r>
        <w:rPr>
          <w:i/>
          <w:color w:val="B03030"/>
          <w:sz w:val="18"/>
        </w:rPr>
        <w:t>[Required]</w:t>
      </w:r>
    </w:p>
    <w:p>
      <w:r>
        <w:rPr>
          <w:b/>
        </w:rPr>
        <w:t xml:space="preserve">Lead-in to type first:  </w:t>
      </w:r>
      <w:r>
        <w:rPr>
          <w:i/>
        </w:rPr>
        <w:t>Each encoder layer applies multi-head self-attention, where every timestep attends to all others through scaled dot-product attention:</w:t>
      </w:r>
    </w:p>
    <w:p>
      <w:pPr>
        <w:jc w:val="center"/>
      </w:pPr>
      <w:r>
        <w:rPr>
          <w:rFonts w:ascii="Cambria Math" w:hAnsi="Cambria Math"/>
          <w:sz w:val="22"/>
        </w:rPr>
        <w:t>Attention(Q,K,V) = softmax(QKᵀ / √d_k) V</w:t>
      </w:r>
    </w:p>
    <w:p>
      <w:r>
        <w:rPr>
          <w:i/>
          <w:color w:val="606060"/>
          <w:sz w:val="17"/>
        </w:rPr>
        <w:t>LaTeX:  \mathrm{Attention}(Q,K,V)=\mathrm{softmax}\!\left(\frac{QK^{\top}}{\sqrt{d_k}}\right)V</w:t>
      </w:r>
    </w:p>
    <w:p>
      <w:r>
        <w:rPr>
          <w:b/>
        </w:rPr>
        <w:t xml:space="preserve">Eq (4.6)  Multi-head attention   </w:t>
      </w:r>
      <w:r>
        <w:rPr>
          <w:i/>
          <w:color w:val="B03030"/>
          <w:sz w:val="18"/>
        </w:rPr>
        <w:t>[Required]</w:t>
      </w:r>
    </w:p>
    <w:p>
      <w:r>
        <w:rPr>
          <w:b/>
        </w:rPr>
        <w:t xml:space="preserve">Lead-in to type first:  </w:t>
      </w:r>
      <w:r>
        <w:rPr>
          <w:i/>
        </w:rPr>
        <w:t>with the h = 4 attention heads concatenated and linearly projected:</w:t>
      </w:r>
    </w:p>
    <w:p>
      <w:pPr>
        <w:jc w:val="center"/>
      </w:pPr>
      <w:r>
        <w:rPr>
          <w:rFonts w:ascii="Cambria Math" w:hAnsi="Cambria Math"/>
          <w:sz w:val="22"/>
        </w:rPr>
        <w:t>MHA(X) = [head_1; …; head_h] W^O</w:t>
      </w:r>
    </w:p>
    <w:p>
      <w:r>
        <w:rPr>
          <w:i/>
          <w:color w:val="606060"/>
          <w:sz w:val="17"/>
        </w:rPr>
        <w:t>LaTeX:  \mathrm{MHA}(X)=[\mathrm{head}_1;\dots;\mathrm{head}_h]\,W^{O}</w:t>
      </w:r>
    </w:p>
    <w:p>
      <w:r>
        <w:rPr>
          <w:b w:val="0"/>
          <w:i/>
        </w:rPr>
        <w:t>Two further Transformer formulas (positional encoding, encoder-layer composition) are standard supporting detail — recommended for the appendix as A.1 and A.2 below.</w:t>
      </w:r>
    </w:p>
    <w:p>
      <w:pPr>
        <w:pStyle w:val="Heading2"/>
      </w:pPr>
      <w:r>
        <w:t>Stop 4 — put these in §4.3 "Training Protocol"  (MAIN BODY)</w:t>
      </w:r>
    </w:p>
    <w:p>
      <w:r>
        <w:rPr>
          <w:b/>
        </w:rPr>
        <w:t xml:space="preserve">Eq (4.7)  Regression loss (MSE)   </w:t>
      </w:r>
      <w:r>
        <w:rPr>
          <w:i/>
          <w:color w:val="B03030"/>
          <w:sz w:val="18"/>
        </w:rPr>
        <w:t>[Required]</w:t>
      </w:r>
    </w:p>
    <w:p>
      <w:r>
        <w:rPr>
          <w:b/>
        </w:rPr>
        <w:t xml:space="preserve">Lead-in to type first:  </w:t>
      </w:r>
      <w:r>
        <w:rPr>
          <w:i/>
        </w:rPr>
        <w:t>The regression head is trained with mean squared error:</w:t>
      </w:r>
    </w:p>
    <w:p>
      <w:pPr>
        <w:jc w:val="center"/>
      </w:pPr>
      <w:r>
        <w:rPr>
          <w:rFonts w:ascii="Cambria Math" w:hAnsi="Cambria Math"/>
          <w:sz w:val="22"/>
        </w:rPr>
        <w:t>L_reg = (1/N) Σ_i (ŷ_i − y_i)²</w:t>
      </w:r>
    </w:p>
    <w:p>
      <w:r>
        <w:rPr>
          <w:i/>
          <w:color w:val="606060"/>
          <w:sz w:val="17"/>
        </w:rPr>
        <w:t>LaTeX:  \mathcal{L}_{\mathrm{reg}}=\frac{1}{N}\sum_i (\hat{y}_i-y_i)^2</w:t>
      </w:r>
    </w:p>
    <w:p>
      <w:r>
        <w:rPr>
          <w:b/>
        </w:rPr>
        <w:t xml:space="preserve">Eq (4.8)  Fault loss (cross-entropy)   </w:t>
      </w:r>
      <w:r>
        <w:rPr>
          <w:i/>
          <w:color w:val="B03030"/>
          <w:sz w:val="18"/>
        </w:rPr>
        <w:t>[Required]</w:t>
      </w:r>
    </w:p>
    <w:p>
      <w:r>
        <w:rPr>
          <w:b/>
        </w:rPr>
        <w:t xml:space="preserve">Lead-in to type first:  </w:t>
      </w:r>
      <w:r>
        <w:rPr>
          <w:i/>
        </w:rPr>
        <w:t>For the UAV multitask variant the fault head adds a cross-entropy term:</w:t>
      </w:r>
    </w:p>
    <w:p>
      <w:pPr>
        <w:jc w:val="center"/>
      </w:pPr>
      <w:r>
        <w:rPr>
          <w:rFonts w:ascii="Cambria Math" w:hAnsi="Cambria Math"/>
          <w:sz w:val="22"/>
        </w:rPr>
        <w:t>L_cls = −(1/N) Σ_i log softmax(z_i)_(c_i)</w:t>
      </w:r>
    </w:p>
    <w:p>
      <w:r>
        <w:rPr>
          <w:i/>
          <w:color w:val="606060"/>
          <w:sz w:val="17"/>
        </w:rPr>
        <w:t>LaTeX:  \mathcal{L}_{\mathrm{cls}}=-\frac{1}{N}\sum_i \log\,\mathrm{softmax}(z_i)_{c_i}</w:t>
      </w:r>
    </w:p>
    <w:p>
      <w:r>
        <w:rPr>
          <w:b/>
        </w:rPr>
        <w:t xml:space="preserve">Eq (4.9)  Combined objective (λ = 0.4)   </w:t>
      </w:r>
      <w:r>
        <w:rPr>
          <w:i/>
          <w:color w:val="B03030"/>
          <w:sz w:val="18"/>
        </w:rPr>
        <w:t>[Required]</w:t>
      </w:r>
    </w:p>
    <w:p>
      <w:r>
        <w:rPr>
          <w:b/>
        </w:rPr>
        <w:t xml:space="preserve">Lead-in to type first:  </w:t>
      </w:r>
      <w:r>
        <w:rPr>
          <w:i/>
        </w:rPr>
        <w:t>combined into a single objective with fault-loss weight λ = 0.4 (this matches edit A in Part 1):</w:t>
      </w:r>
    </w:p>
    <w:p>
      <w:pPr>
        <w:jc w:val="center"/>
      </w:pPr>
      <w:r>
        <w:rPr>
          <w:rFonts w:ascii="Cambria Math" w:hAnsi="Cambria Math"/>
          <w:sz w:val="22"/>
        </w:rPr>
        <w:t>L = L_reg + λ·L_cls,   λ = 0.4</w:t>
      </w:r>
    </w:p>
    <w:p>
      <w:r>
        <w:rPr>
          <w:i/>
          <w:color w:val="606060"/>
          <w:sz w:val="17"/>
        </w:rPr>
        <w:t>LaTeX:  \mathcal{L}=\mathcal{L}_{\mathrm{reg}}+\lambda\,\mathcal{L}_{\mathrm{cls}},\qquad \lambda=0.4</w:t>
      </w:r>
    </w:p>
    <w:p>
      <w:r>
        <w:rPr>
          <w:b w:val="0"/>
          <w:i/>
        </w:rPr>
        <w:t>The cosine learning-rate schedule (one line) is supporting detail — recommended for the appendix as A.3 below.</w:t>
      </w:r>
    </w:p>
    <w:p>
      <w:pPr>
        <w:pStyle w:val="Heading2"/>
      </w:pPr>
      <w:r>
        <w:t>Stop 5 — put these in §4.4.2 "Integrated Gradients"  (MAIN BODY)</w:t>
      </w:r>
    </w:p>
    <w:p>
      <w:r>
        <w:rPr>
          <w:b/>
        </w:rPr>
        <w:t xml:space="preserve">Eq (4.10)  Integrated Gradients   </w:t>
      </w:r>
      <w:r>
        <w:rPr>
          <w:i/>
          <w:color w:val="B03030"/>
          <w:sz w:val="18"/>
        </w:rPr>
        <w:t>[Required]</w:t>
      </w:r>
    </w:p>
    <w:p>
      <w:r>
        <w:rPr>
          <w:b/>
        </w:rPr>
        <w:t xml:space="preserve">Lead-in to type first:  </w:t>
      </w:r>
      <w:r>
        <w:rPr>
          <w:i/>
        </w:rPr>
        <w:t>Integrated Gradients attributes the predicted RUL to each input feature by integrating gradients along a straight path from a zero baseline b to the input x:</w:t>
      </w:r>
    </w:p>
    <w:p>
      <w:pPr>
        <w:jc w:val="center"/>
      </w:pPr>
      <w:r>
        <w:rPr>
          <w:rFonts w:ascii="Cambria Math" w:hAnsi="Cambria Math"/>
          <w:sz w:val="22"/>
        </w:rPr>
        <w:t>IG_j(x) = (x_j − b_j) ∫₀¹ ∂F(b + α(x−b))/∂x_j dα,  b = 0</w:t>
      </w:r>
    </w:p>
    <w:p>
      <w:r>
        <w:rPr>
          <w:i/>
          <w:color w:val="606060"/>
          <w:sz w:val="17"/>
        </w:rPr>
        <w:t>LaTeX:  \mathrm{IG}_j(x)=(x_j-b_j)\int_0^1 \frac{\partial F\!\left(b+\alpha(x-b)\right)}{\partial x_j}\,d\alpha,\qquad b=0</w:t>
      </w:r>
    </w:p>
    <w:p>
      <w:r>
        <w:rPr>
          <w:b/>
        </w:rPr>
        <w:t xml:space="preserve">Eq (4.11)  Sensor-importance reduction   </w:t>
      </w:r>
      <w:r>
        <w:rPr>
          <w:i/>
          <w:color w:val="A06600"/>
          <w:sz w:val="18"/>
        </w:rPr>
        <w:t>[Recommended]</w:t>
      </w:r>
    </w:p>
    <w:p>
      <w:r>
        <w:rPr>
          <w:b/>
        </w:rPr>
        <w:t xml:space="preserve">Lead-in to type first:  </w:t>
      </w:r>
      <w:r>
        <w:rPr>
          <w:i/>
        </w:rPr>
        <w:t>Per-sensor importance is the time-averaged absolute attribution, normalised to [0,1] for the dashboard bar chart:</w:t>
      </w:r>
    </w:p>
    <w:p>
      <w:pPr>
        <w:jc w:val="center"/>
      </w:pPr>
      <w:r>
        <w:rPr>
          <w:rFonts w:ascii="Cambria Math" w:hAnsi="Cambria Math"/>
          <w:sz w:val="22"/>
        </w:rPr>
        <w:t>I_f = (1/T) Σ_t |IG_(t,f)|,   Î_f = I_f / max_f I_f</w:t>
      </w:r>
    </w:p>
    <w:p>
      <w:r>
        <w:rPr>
          <w:i/>
          <w:color w:val="606060"/>
          <w:sz w:val="17"/>
        </w:rPr>
        <w:t>LaTeX:  I_f=\frac{1}{T}\sum_t |\mathrm{IG}_{t,f}|,\qquad \hat{I}_f=I_f/\max_f I_f</w:t>
      </w:r>
    </w:p>
    <w:p>
      <w:pPr>
        <w:pStyle w:val="Heading2"/>
      </w:pPr>
      <w:r>
        <w:t>Stop 6 — put these in §4.6 "Evaluation Methodology"  (MAIN BODY)</w:t>
      </w:r>
    </w:p>
    <w:p>
      <w:r>
        <w:rPr>
          <w:b/>
        </w:rPr>
        <w:t xml:space="preserve">Eq (4.12)  RMSE   </w:t>
      </w:r>
      <w:r>
        <w:rPr>
          <w:i/>
          <w:color w:val="B03030"/>
          <w:sz w:val="18"/>
        </w:rPr>
        <w:t>[Required]</w:t>
      </w:r>
    </w:p>
    <w:p>
      <w:r>
        <w:rPr>
          <w:b/>
        </w:rPr>
        <w:t xml:space="preserve">Lead-in to type first:  </w:t>
      </w:r>
      <w:r>
        <w:rPr>
          <w:i/>
        </w:rPr>
        <w:t>Regression accuracy is reported as the root mean squared error between predicted and true RUL:</w:t>
      </w:r>
    </w:p>
    <w:p>
      <w:pPr>
        <w:jc w:val="center"/>
      </w:pPr>
      <w:r>
        <w:rPr>
          <w:rFonts w:ascii="Cambria Math" w:hAnsi="Cambria Math"/>
          <w:sz w:val="22"/>
        </w:rPr>
        <w:t>RMSE = √( (1/N) Σ_i (ŷ_i − y_i)² )</w:t>
      </w:r>
    </w:p>
    <w:p>
      <w:r>
        <w:rPr>
          <w:i/>
          <w:color w:val="606060"/>
          <w:sz w:val="17"/>
        </w:rPr>
        <w:t>LaTeX:  \mathrm{RMSE}=\sqrt{\frac{1}{N}\sum_i (\hat{y}_i-y_i)^2}</w:t>
      </w:r>
    </w:p>
    <w:p>
      <w:r>
        <w:rPr>
          <w:b/>
        </w:rPr>
        <w:t xml:space="preserve">Eq (4.13)  NASA asymmetric score   </w:t>
      </w:r>
      <w:r>
        <w:rPr>
          <w:i/>
          <w:color w:val="B03030"/>
          <w:sz w:val="18"/>
        </w:rPr>
        <w:t>[Required]</w:t>
      </w:r>
    </w:p>
    <w:p>
      <w:r>
        <w:rPr>
          <w:b/>
        </w:rPr>
        <w:t xml:space="preserve">Lead-in to type first:  </w:t>
      </w:r>
      <w:r>
        <w:rPr>
          <w:i/>
        </w:rPr>
        <w:t>For C-MAPSS we additionally report the asymmetric NASA score (d_i = ŷ_i − y_i), which penalises late predictions more heavily than early ones:</w:t>
      </w:r>
    </w:p>
    <w:p>
      <w:pPr>
        <w:jc w:val="center"/>
      </w:pPr>
      <w:r>
        <w:rPr>
          <w:rFonts w:ascii="Cambria Math" w:hAnsi="Cambria Math"/>
          <w:sz w:val="22"/>
        </w:rPr>
        <w:t>s_i = e^(−d_i/13) − 1  if d_i&lt;0;   s_i = e^(d_i/10) − 1  if d_i≥0.   Score = Σ_i s_i</w:t>
      </w:r>
    </w:p>
    <w:p>
      <w:r>
        <w:rPr>
          <w:i/>
          <w:color w:val="606060"/>
          <w:sz w:val="17"/>
        </w:rPr>
        <w:t>LaTeX:  s_i = e^{-d_i/13}-1 \;\text{ if } d_i&lt;0;\quad s_i = e^{\,d_i/10}-1 \;\text{ if } d_i\ge 0,\qquad \mathrm{Score}=\sum_i s_i</w:t>
      </w:r>
    </w:p>
    <w:p>
      <w:pPr>
        <w:pStyle w:val="Heading2"/>
      </w:pPr>
      <w:r>
        <w:t>Appendix equations — place in a new "Appendix A: Model &amp; Training Details"</w:t>
      </w:r>
    </w:p>
    <w:p>
      <w:r>
        <w:rPr>
          <w:b w:val="0"/>
          <w:i w:val="0"/>
        </w:rPr>
        <w:t>These three are standard supporting formulas; putting them in the appendix keeps §4 lean while still showing rigour. Number them (A.1)–(A.3). If you prefer, any one can instead sit inline in the section noted in brackets — your call.</w:t>
      </w:r>
    </w:p>
    <w:p>
      <w:r>
        <w:rPr>
          <w:b/>
        </w:rPr>
        <w:t xml:space="preserve">Eq (A.1)  Sinusoidal positional encoding   </w:t>
      </w:r>
      <w:r>
        <w:rPr>
          <w:i/>
          <w:color w:val="444444"/>
          <w:sz w:val="18"/>
        </w:rPr>
        <w:t>[Appendix]</w:t>
      </w:r>
    </w:p>
    <w:p>
      <w:r>
        <w:rPr>
          <w:b/>
        </w:rPr>
        <w:t xml:space="preserve">Lead-in to type first:  </w:t>
      </w:r>
      <w:r>
        <w:rPr>
          <w:i/>
        </w:rPr>
        <w:t>[supports §4.2.3]  Temporal order is injected through fixed sinusoidal positional encodings:</w:t>
      </w:r>
    </w:p>
    <w:p>
      <w:pPr>
        <w:jc w:val="center"/>
      </w:pPr>
      <w:r>
        <w:rPr>
          <w:rFonts w:ascii="Cambria Math" w:hAnsi="Cambria Math"/>
          <w:sz w:val="22"/>
        </w:rPr>
        <w:t>PE(p,2i) = sin(p / 10000^(2i/d)),   PE(p,2i+1) = cos(p / 10000^(2i/d))</w:t>
      </w:r>
    </w:p>
    <w:p>
      <w:r>
        <w:rPr>
          <w:i/>
          <w:color w:val="606060"/>
          <w:sz w:val="17"/>
        </w:rPr>
        <w:t>LaTeX:  PE(p,2i)=\sin\!\left(p/10000^{2i/d}\right),\qquad PE(p,2i+1)=\cos\!\left(p/10000^{2i/d}\right)</w:t>
      </w:r>
    </w:p>
    <w:p>
      <w:r>
        <w:rPr>
          <w:b/>
        </w:rPr>
        <w:t xml:space="preserve">Eq (A.2)  Transformer encoder layer   </w:t>
      </w:r>
      <w:r>
        <w:rPr>
          <w:i/>
          <w:color w:val="444444"/>
          <w:sz w:val="18"/>
        </w:rPr>
        <w:t>[Appendix]</w:t>
      </w:r>
    </w:p>
    <w:p>
      <w:r>
        <w:rPr>
          <w:b/>
        </w:rPr>
        <w:t xml:space="preserve">Lead-in to type first:  </w:t>
      </w:r>
      <w:r>
        <w:rPr>
          <w:i/>
        </w:rPr>
        <w:t>[supports §4.2.3]  Each layer combines attention and a feed-forward block with residual connections and layer normalisation (FFN width 192, GELU):</w:t>
      </w:r>
    </w:p>
    <w:p>
      <w:pPr>
        <w:jc w:val="center"/>
      </w:pPr>
      <w:r>
        <w:rPr>
          <w:rFonts w:ascii="Cambria Math" w:hAnsi="Cambria Math"/>
          <w:sz w:val="22"/>
        </w:rPr>
        <w:t>z = LN(x + MHA(x)),   h = LN(z + W₂·GELU(W₁ z))</w:t>
      </w:r>
    </w:p>
    <w:p>
      <w:r>
        <w:rPr>
          <w:i/>
          <w:color w:val="606060"/>
          <w:sz w:val="17"/>
        </w:rPr>
        <w:t>LaTeX:  z=\mathrm{LN}(x+\mathrm{MHA}(x)),\qquad h=\mathrm{LN}(z+W_2\,\mathrm{GELU}(W_1 z))</w:t>
      </w:r>
    </w:p>
    <w:p>
      <w:r>
        <w:rPr>
          <w:b/>
        </w:rPr>
        <w:t xml:space="preserve">Eq (A.3)  Cosine-annealing schedule   </w:t>
      </w:r>
      <w:r>
        <w:rPr>
          <w:i/>
          <w:color w:val="444444"/>
          <w:sz w:val="18"/>
        </w:rPr>
        <w:t>[Appendix]</w:t>
      </w:r>
    </w:p>
    <w:p>
      <w:r>
        <w:rPr>
          <w:b/>
        </w:rPr>
        <w:t xml:space="preserve">Lead-in to type first:  </w:t>
      </w:r>
      <w:r>
        <w:rPr>
          <w:i/>
        </w:rPr>
        <w:t>[supports §4.3]  The learning rate follows a cosine schedule decaying to zero over the epoch budget:</w:t>
      </w:r>
    </w:p>
    <w:p>
      <w:pPr>
        <w:jc w:val="center"/>
      </w:pPr>
      <w:r>
        <w:rPr>
          <w:rFonts w:ascii="Cambria Math" w:hAnsi="Cambria Math"/>
          <w:sz w:val="22"/>
        </w:rPr>
        <w:t>η_t = ½ · η_max · (1 + cos(π t / T_max))</w:t>
      </w:r>
    </w:p>
    <w:p>
      <w:r>
        <w:rPr>
          <w:i/>
          <w:color w:val="606060"/>
          <w:sz w:val="17"/>
        </w:rPr>
        <w:t>LaTeX:  \eta_t=\frac{1}{2}\,\eta_{\max}\left(1+\cos\!\left(\pi t/T_{\max}\right)\right)</w:t>
      </w:r>
    </w:p>
    <w:p>
      <w:pPr>
        <w:pStyle w:val="Heading2"/>
      </w:pPr>
      <w:r>
        <w:t>Placement &amp; priority at a glance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Equation</w:t>
            </w:r>
          </w:p>
        </w:tc>
        <w:tc>
          <w:tcPr>
            <w:tcW w:type="dxa" w:w="2880"/>
          </w:tcPr>
          <w:p>
            <w:r/>
            <w:r>
              <w:rPr>
                <w:b/>
              </w:rPr>
              <w:t>Goes in</w:t>
            </w:r>
          </w:p>
        </w:tc>
        <w:tc>
          <w:tcPr>
            <w:tcW w:type="dxa" w:w="2880"/>
          </w:tcPr>
          <w:p>
            <w:r/>
            <w:r>
              <w:rPr>
                <w:b/>
              </w:rPr>
              <w:t>Priority</w:t>
            </w:r>
          </w:p>
        </w:tc>
      </w:tr>
      <w:tr>
        <w:tc>
          <w:tcPr>
            <w:tcW w:type="dxa" w:w="2880"/>
          </w:tcPr>
          <w:p>
            <w:r>
              <w:t>4.1  z-score</w:t>
            </w:r>
          </w:p>
        </w:tc>
        <w:tc>
          <w:tcPr>
            <w:tcW w:type="dxa" w:w="2880"/>
          </w:tcPr>
          <w:p>
            <w:r>
              <w:t>§4.1.1 (main body)</w:t>
            </w:r>
          </w:p>
        </w:tc>
        <w:tc>
          <w:tcPr>
            <w:tcW w:type="dxa" w:w="2880"/>
          </w:tcPr>
          <w:p>
            <w:r>
              <w:t>Recommended</w:t>
            </w:r>
          </w:p>
        </w:tc>
      </w:tr>
      <w:tr>
        <w:tc>
          <w:tcPr>
            <w:tcW w:type="dxa" w:w="2880"/>
          </w:tcPr>
          <w:p>
            <w:r>
              <w:t>4.2  C-MAPSS RUL target</w:t>
            </w:r>
          </w:p>
        </w:tc>
        <w:tc>
          <w:tcPr>
            <w:tcW w:type="dxa" w:w="2880"/>
          </w:tcPr>
          <w:p>
            <w:r>
              <w:t>§4.1.1 (main body)</w:t>
            </w:r>
          </w:p>
        </w:tc>
        <w:tc>
          <w:tcPr>
            <w:tcW w:type="dxa" w:w="2880"/>
          </w:tcPr>
          <w:p>
            <w:r>
              <w:t>Required</w:t>
            </w:r>
          </w:p>
        </w:tc>
      </w:tr>
      <w:tr>
        <w:tc>
          <w:tcPr>
            <w:tcW w:type="dxa" w:w="2880"/>
          </w:tcPr>
          <w:p>
            <w:r>
              <w:t>4.3  sliding window</w:t>
            </w:r>
          </w:p>
        </w:tc>
        <w:tc>
          <w:tcPr>
            <w:tcW w:type="dxa" w:w="2880"/>
          </w:tcPr>
          <w:p>
            <w:r>
              <w:t>§4.1.1 (main body)</w:t>
            </w:r>
          </w:p>
        </w:tc>
        <w:tc>
          <w:tcPr>
            <w:tcW w:type="dxa" w:w="2880"/>
          </w:tcPr>
          <w:p>
            <w:r>
              <w:t>Recommended</w:t>
            </w:r>
          </w:p>
        </w:tc>
      </w:tr>
      <w:tr>
        <w:tc>
          <w:tcPr>
            <w:tcW w:type="dxa" w:w="2880"/>
          </w:tcPr>
          <w:p>
            <w:r>
              <w:t>4.4  UAV RUL / life fraction</w:t>
            </w:r>
          </w:p>
        </w:tc>
        <w:tc>
          <w:tcPr>
            <w:tcW w:type="dxa" w:w="2880"/>
          </w:tcPr>
          <w:p>
            <w:r>
              <w:t>§4.1.2 (main body)</w:t>
            </w:r>
          </w:p>
        </w:tc>
        <w:tc>
          <w:tcPr>
            <w:tcW w:type="dxa" w:w="2880"/>
          </w:tcPr>
          <w:p>
            <w:r>
              <w:t>Required</w:t>
            </w:r>
          </w:p>
        </w:tc>
      </w:tr>
      <w:tr>
        <w:tc>
          <w:tcPr>
            <w:tcW w:type="dxa" w:w="2880"/>
          </w:tcPr>
          <w:p>
            <w:r>
              <w:t>4.5  scaled dot-product attention</w:t>
            </w:r>
          </w:p>
        </w:tc>
        <w:tc>
          <w:tcPr>
            <w:tcW w:type="dxa" w:w="2880"/>
          </w:tcPr>
          <w:p>
            <w:r>
              <w:t>§4.2.3 (main body)</w:t>
            </w:r>
          </w:p>
        </w:tc>
        <w:tc>
          <w:tcPr>
            <w:tcW w:type="dxa" w:w="2880"/>
          </w:tcPr>
          <w:p>
            <w:r>
              <w:t>Required</w:t>
            </w:r>
          </w:p>
        </w:tc>
      </w:tr>
      <w:tr>
        <w:tc>
          <w:tcPr>
            <w:tcW w:type="dxa" w:w="2880"/>
          </w:tcPr>
          <w:p>
            <w:r>
              <w:t>4.6  multi-head attention</w:t>
            </w:r>
          </w:p>
        </w:tc>
        <w:tc>
          <w:tcPr>
            <w:tcW w:type="dxa" w:w="2880"/>
          </w:tcPr>
          <w:p>
            <w:r>
              <w:t>§4.2.3 (main body)</w:t>
            </w:r>
          </w:p>
        </w:tc>
        <w:tc>
          <w:tcPr>
            <w:tcW w:type="dxa" w:w="2880"/>
          </w:tcPr>
          <w:p>
            <w:r>
              <w:t>Required</w:t>
            </w:r>
          </w:p>
        </w:tc>
      </w:tr>
      <w:tr>
        <w:tc>
          <w:tcPr>
            <w:tcW w:type="dxa" w:w="2880"/>
          </w:tcPr>
          <w:p>
            <w:r>
              <w:t>4.7  MSE regression loss</w:t>
            </w:r>
          </w:p>
        </w:tc>
        <w:tc>
          <w:tcPr>
            <w:tcW w:type="dxa" w:w="2880"/>
          </w:tcPr>
          <w:p>
            <w:r>
              <w:t>§4.3 (main body)</w:t>
            </w:r>
          </w:p>
        </w:tc>
        <w:tc>
          <w:tcPr>
            <w:tcW w:type="dxa" w:w="2880"/>
          </w:tcPr>
          <w:p>
            <w:r>
              <w:t>Required</w:t>
            </w:r>
          </w:p>
        </w:tc>
      </w:tr>
      <w:tr>
        <w:tc>
          <w:tcPr>
            <w:tcW w:type="dxa" w:w="2880"/>
          </w:tcPr>
          <w:p>
            <w:r>
              <w:t>4.8  cross-entropy fault loss</w:t>
            </w:r>
          </w:p>
        </w:tc>
        <w:tc>
          <w:tcPr>
            <w:tcW w:type="dxa" w:w="2880"/>
          </w:tcPr>
          <w:p>
            <w:r>
              <w:t>§4.3 (main body)</w:t>
            </w:r>
          </w:p>
        </w:tc>
        <w:tc>
          <w:tcPr>
            <w:tcW w:type="dxa" w:w="2880"/>
          </w:tcPr>
          <w:p>
            <w:r>
              <w:t>Required</w:t>
            </w:r>
          </w:p>
        </w:tc>
      </w:tr>
      <w:tr>
        <w:tc>
          <w:tcPr>
            <w:tcW w:type="dxa" w:w="2880"/>
          </w:tcPr>
          <w:p>
            <w:r>
              <w:t>4.9  combined objective (λ=0.4)</w:t>
            </w:r>
          </w:p>
        </w:tc>
        <w:tc>
          <w:tcPr>
            <w:tcW w:type="dxa" w:w="2880"/>
          </w:tcPr>
          <w:p>
            <w:r>
              <w:t>§4.3 (main body)</w:t>
            </w:r>
          </w:p>
        </w:tc>
        <w:tc>
          <w:tcPr>
            <w:tcW w:type="dxa" w:w="2880"/>
          </w:tcPr>
          <w:p>
            <w:r>
              <w:t>Required</w:t>
            </w:r>
          </w:p>
        </w:tc>
      </w:tr>
      <w:tr>
        <w:tc>
          <w:tcPr>
            <w:tcW w:type="dxa" w:w="2880"/>
          </w:tcPr>
          <w:p>
            <w:r>
              <w:t>4.10 Integrated Gradients</w:t>
            </w:r>
          </w:p>
        </w:tc>
        <w:tc>
          <w:tcPr>
            <w:tcW w:type="dxa" w:w="2880"/>
          </w:tcPr>
          <w:p>
            <w:r>
              <w:t>§4.4.2 (main body)</w:t>
            </w:r>
          </w:p>
        </w:tc>
        <w:tc>
          <w:tcPr>
            <w:tcW w:type="dxa" w:w="2880"/>
          </w:tcPr>
          <w:p>
            <w:r>
              <w:t>Required</w:t>
            </w:r>
          </w:p>
        </w:tc>
      </w:tr>
      <w:tr>
        <w:tc>
          <w:tcPr>
            <w:tcW w:type="dxa" w:w="2880"/>
          </w:tcPr>
          <w:p>
            <w:r>
              <w:t>4.11 sensor-importance reduction</w:t>
            </w:r>
          </w:p>
        </w:tc>
        <w:tc>
          <w:tcPr>
            <w:tcW w:type="dxa" w:w="2880"/>
          </w:tcPr>
          <w:p>
            <w:r>
              <w:t>§4.4.2 (main body)</w:t>
            </w:r>
          </w:p>
        </w:tc>
        <w:tc>
          <w:tcPr>
            <w:tcW w:type="dxa" w:w="2880"/>
          </w:tcPr>
          <w:p>
            <w:r>
              <w:t>Recommended</w:t>
            </w:r>
          </w:p>
        </w:tc>
      </w:tr>
      <w:tr>
        <w:tc>
          <w:tcPr>
            <w:tcW w:type="dxa" w:w="2880"/>
          </w:tcPr>
          <w:p>
            <w:r>
              <w:t>4.12 RMSE</w:t>
            </w:r>
          </w:p>
        </w:tc>
        <w:tc>
          <w:tcPr>
            <w:tcW w:type="dxa" w:w="2880"/>
          </w:tcPr>
          <w:p>
            <w:r>
              <w:t>§4.6 (main body)</w:t>
            </w:r>
          </w:p>
        </w:tc>
        <w:tc>
          <w:tcPr>
            <w:tcW w:type="dxa" w:w="2880"/>
          </w:tcPr>
          <w:p>
            <w:r>
              <w:t>Required</w:t>
            </w:r>
          </w:p>
        </w:tc>
      </w:tr>
      <w:tr>
        <w:tc>
          <w:tcPr>
            <w:tcW w:type="dxa" w:w="2880"/>
          </w:tcPr>
          <w:p>
            <w:r>
              <w:t>4.13 NASA asymmetric score</w:t>
            </w:r>
          </w:p>
        </w:tc>
        <w:tc>
          <w:tcPr>
            <w:tcW w:type="dxa" w:w="2880"/>
          </w:tcPr>
          <w:p>
            <w:r>
              <w:t>§4.6 (main body)</w:t>
            </w:r>
          </w:p>
        </w:tc>
        <w:tc>
          <w:tcPr>
            <w:tcW w:type="dxa" w:w="2880"/>
          </w:tcPr>
          <w:p>
            <w:r>
              <w:t>Required</w:t>
            </w:r>
          </w:p>
        </w:tc>
      </w:tr>
      <w:tr>
        <w:tc>
          <w:tcPr>
            <w:tcW w:type="dxa" w:w="2880"/>
          </w:tcPr>
          <w:p>
            <w:r>
              <w:t>A.1  positional encoding</w:t>
            </w:r>
          </w:p>
        </w:tc>
        <w:tc>
          <w:tcPr>
            <w:tcW w:type="dxa" w:w="2880"/>
          </w:tcPr>
          <w:p>
            <w:r>
              <w:t>Appendix A</w:t>
            </w:r>
          </w:p>
        </w:tc>
        <w:tc>
          <w:tcPr>
            <w:tcW w:type="dxa" w:w="2880"/>
          </w:tcPr>
          <w:p>
            <w:r>
              <w:t>Optional</w:t>
            </w:r>
          </w:p>
        </w:tc>
      </w:tr>
      <w:tr>
        <w:tc>
          <w:tcPr>
            <w:tcW w:type="dxa" w:w="2880"/>
          </w:tcPr>
          <w:p>
            <w:r>
              <w:t>A.2  encoder layer</w:t>
            </w:r>
          </w:p>
        </w:tc>
        <w:tc>
          <w:tcPr>
            <w:tcW w:type="dxa" w:w="2880"/>
          </w:tcPr>
          <w:p>
            <w:r>
              <w:t>Appendix A</w:t>
            </w:r>
          </w:p>
        </w:tc>
        <w:tc>
          <w:tcPr>
            <w:tcW w:type="dxa" w:w="2880"/>
          </w:tcPr>
          <w:p>
            <w:r>
              <w:t>Optional</w:t>
            </w:r>
          </w:p>
        </w:tc>
      </w:tr>
      <w:tr>
        <w:tc>
          <w:tcPr>
            <w:tcW w:type="dxa" w:w="2880"/>
          </w:tcPr>
          <w:p>
            <w:r>
              <w:t>A.3  cosine schedule</w:t>
            </w:r>
          </w:p>
        </w:tc>
        <w:tc>
          <w:tcPr>
            <w:tcW w:type="dxa" w:w="2880"/>
          </w:tcPr>
          <w:p>
            <w:r>
              <w:t>Appendix A</w:t>
            </w:r>
          </w:p>
        </w:tc>
        <w:tc>
          <w:tcPr>
            <w:tcW w:type="dxa" w:w="2880"/>
          </w:tcPr>
          <w:p>
            <w:r>
              <w:t>Optional</w:t>
            </w:r>
          </w:p>
        </w:tc>
      </w:tr>
    </w:tbl>
    <w:p/>
    <w:p>
      <w:r>
        <w:rPr>
          <w:b w:val="0"/>
          <w:i/>
        </w:rPr>
        <w:t>Short on time? Do the ten Required equations (4.2, 4.4, 4.5, 4.6, 4.7, 4.8, 4.9, 4.10, 4.12, 4.13) — that alone takes the methodology from "no maths" to properly formalised. The 3 Recommended (4.1, 4.3, 4.11) are quick one-liners; the Appendix three are polish.</w:t>
      </w:r>
    </w:p>
    <w:p>
      <w:r>
        <w:br w:type="page"/>
      </w:r>
    </w:p>
    <w:p>
      <w:pPr>
        <w:pStyle w:val="Heading1"/>
      </w:pPr>
      <w:r>
        <w:t>PART 4 — Figures &amp; tables to ADD</w:t>
      </w:r>
    </w:p>
    <w:p>
      <w:pPr>
        <w:pStyle w:val="Heading2"/>
      </w:pPr>
      <w:r>
        <w:t>4.1 Figures already generated and ready to embed</w:t>
      </w:r>
    </w:p>
    <w:p>
      <w:r>
        <w:rPr>
          <w:b w:val="0"/>
          <w:i w:val="0"/>
        </w:rPr>
        <w:t>thesis/figures/ contains SEVEN publication-ready figures (PNG + PDF, 300 dpi) — the original five plus two Claude generated for you (architecture + degradation). Your .docx currently embeds only ONE image. Embedding these is your single highest-value, lowest-effort marking improvement.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File (thesis/figures/)</w:t>
            </w:r>
          </w:p>
        </w:tc>
        <w:tc>
          <w:tcPr>
            <w:tcW w:type="dxa" w:w="2880"/>
          </w:tcPr>
          <w:p>
            <w:r/>
            <w:r>
              <w:rPr>
                <w:b/>
              </w:rPr>
              <w:t>Shows</w:t>
            </w:r>
          </w:p>
        </w:tc>
        <w:tc>
          <w:tcPr>
            <w:tcW w:type="dxa" w:w="2880"/>
          </w:tcPr>
          <w:p>
            <w:r/>
            <w:r>
              <w:rPr>
                <w:b/>
              </w:rPr>
              <w:t>Place in</w:t>
            </w:r>
          </w:p>
        </w:tc>
      </w:tr>
      <w:tr>
        <w:tc>
          <w:tcPr>
            <w:tcW w:type="dxa" w:w="2880"/>
          </w:tcPr>
          <w:p>
            <w:r>
              <w:t>fig_architecture.png</w:t>
            </w:r>
          </w:p>
        </w:tc>
        <w:tc>
          <w:tcPr>
            <w:tcW w:type="dxa" w:w="2880"/>
          </w:tcPr>
          <w:p>
            <w:r>
              <w:t>System architecture: data -&gt; 6 models -&gt; static-artifact contract -&gt; dashboard + FastAPI backend</w:t>
            </w:r>
          </w:p>
        </w:tc>
        <w:tc>
          <w:tcPr>
            <w:tcW w:type="dxa" w:w="2880"/>
          </w:tcPr>
          <w:p>
            <w:r>
              <w:t>§5 (System Design) — NEW</w:t>
            </w:r>
          </w:p>
        </w:tc>
      </w:tr>
      <w:tr>
        <w:tc>
          <w:tcPr>
            <w:tcW w:type="dxa" w:w="2880"/>
          </w:tcPr>
          <w:p>
            <w:r>
              <w:t>fig_uav_degradation.png</w:t>
            </w:r>
          </w:p>
        </w:tc>
        <w:tc>
          <w:tcPr>
            <w:tcW w:type="dxa" w:w="2880"/>
          </w:tcPr>
          <w:p>
            <w:r>
              <w:t>Real synthetic fault signatures (bearing vib / ESC temp / battery sag) + RUL target, vs airframe life</w:t>
            </w:r>
          </w:p>
        </w:tc>
        <w:tc>
          <w:tcPr>
            <w:tcW w:type="dxa" w:w="2880"/>
          </w:tcPr>
          <w:p>
            <w:r>
              <w:t>§4.1.2 — NEW</w:t>
            </w:r>
          </w:p>
        </w:tc>
      </w:tr>
      <w:tr>
        <w:tc>
          <w:tcPr>
            <w:tcW w:type="dxa" w:w="2880"/>
          </w:tcPr>
          <w:p>
            <w:r>
              <w:t>fig_loss_curves.png</w:t>
            </w:r>
          </w:p>
        </w:tc>
        <w:tc>
          <w:tcPr>
            <w:tcW w:type="dxa" w:w="2880"/>
          </w:tcPr>
          <w:p>
            <w:r>
              <w:t>Validation-RMSE vs epoch, all 6 models (C-MAPSS + UAV)</w:t>
            </w:r>
          </w:p>
        </w:tc>
        <w:tc>
          <w:tcPr>
            <w:tcW w:type="dxa" w:w="2880"/>
          </w:tcPr>
          <w:p>
            <w:r>
              <w:t>§6.1 / §6.2 (training curves)</w:t>
            </w:r>
          </w:p>
        </w:tc>
      </w:tr>
      <w:tr>
        <w:tc>
          <w:tcPr>
            <w:tcW w:type="dxa" w:w="2880"/>
          </w:tcPr>
          <w:p>
            <w:r>
              <w:t>fig_results_bars.png</w:t>
            </w:r>
          </w:p>
        </w:tc>
        <w:tc>
          <w:tcPr>
            <w:tcW w:type="dxa" w:w="2880"/>
          </w:tcPr>
          <w:p>
            <w:r>
              <w:t>Test-RMSE bars per dataset x architecture</w:t>
            </w:r>
          </w:p>
        </w:tc>
        <w:tc>
          <w:tcPr>
            <w:tcW w:type="dxa" w:w="2880"/>
          </w:tcPr>
          <w:p>
            <w:r>
              <w:t>§6.1 / §6.2 (next to the tables)</w:t>
            </w:r>
          </w:p>
        </w:tc>
      </w:tr>
      <w:tr>
        <w:tc>
          <w:tcPr>
            <w:tcW w:type="dxa" w:w="2880"/>
          </w:tcPr>
          <w:p>
            <w:r>
              <w:t>fig_rul_overlay.png</w:t>
            </w:r>
          </w:p>
        </w:tc>
        <w:tc>
          <w:tcPr>
            <w:tcW w:type="dxa" w:w="2880"/>
          </w:tcPr>
          <w:p>
            <w:r>
              <w:t>Per-asset predicted RUL (per arch) vs true RUL</w:t>
            </w:r>
          </w:p>
        </w:tc>
        <w:tc>
          <w:tcPr>
            <w:tcW w:type="dxa" w:w="2880"/>
          </w:tcPr>
          <w:p>
            <w:r>
              <w:t>§6.4 (qualitative)</w:t>
            </w:r>
          </w:p>
        </w:tc>
      </w:tr>
      <w:tr>
        <w:tc>
          <w:tcPr>
            <w:tcW w:type="dxa" w:w="2880"/>
          </w:tcPr>
          <w:p>
            <w:r>
              <w:t>fig_attention_CRZ-11.png</w:t>
            </w:r>
          </w:p>
        </w:tc>
        <w:tc>
          <w:tcPr>
            <w:tcW w:type="dxa" w:w="2880"/>
          </w:tcPr>
          <w:p>
            <w:r>
              <w:t>Transformer self-attention heatmap (T x T)</w:t>
            </w:r>
          </w:p>
        </w:tc>
        <w:tc>
          <w:tcPr>
            <w:tcW w:type="dxa" w:w="2880"/>
          </w:tcPr>
          <w:p>
            <w:r>
              <w:t>§4.4.1 and/or §6.4</w:t>
            </w:r>
          </w:p>
        </w:tc>
      </w:tr>
      <w:tr>
        <w:tc>
          <w:tcPr>
            <w:tcW w:type="dxa" w:w="2880"/>
          </w:tcPr>
          <w:p>
            <w:r>
              <w:t>fig_sensor_importance.png</w:t>
            </w:r>
          </w:p>
        </w:tc>
        <w:tc>
          <w:tcPr>
            <w:tcW w:type="dxa" w:w="2880"/>
          </w:tcPr>
          <w:p>
            <w:r>
              <w:t>Mean |IG| sensor attribution across UAV assets (now Captum)</w:t>
            </w:r>
          </w:p>
        </w:tc>
        <w:tc>
          <w:tcPr>
            <w:tcW w:type="dxa" w:w="2880"/>
          </w:tcPr>
          <w:p>
            <w:r>
              <w:t>§4.4.2 and/or §6.4</w:t>
            </w:r>
          </w:p>
        </w:tc>
      </w:tr>
    </w:tbl>
    <w:p/>
    <w:p>
      <w:pPr>
        <w:pStyle w:val="Heading2"/>
      </w:pPr>
      <w:r>
        <w:t>4.2 Still worth adding (only screenshots left)</w:t>
      </w:r>
    </w:p>
    <w:p>
      <w:r>
        <w:rPr>
          <w:b w:val="0"/>
          <w:i w:val="0"/>
        </w:rPr>
        <w:t>•  Dashboard screenshots of the four views (Armory, Mission, Diagnostics, Lab) — at least one in §5, the rest in the appendix. These are the only visuals you still need to capture by hand.</w:t>
      </w:r>
    </w:p>
    <w:p>
      <w:r>
        <w:rPr>
          <w:b w:val="0"/>
          <w:i w:val="0"/>
        </w:rPr>
        <w:t>•  (Optional) If you want the architecture figure restyled (e.g. your university colour scheme), it was produced by ml/figures-style matplotlib and can be regenerated.</w:t>
      </w:r>
    </w:p>
    <w:p>
      <w:pPr>
        <w:pStyle w:val="Heading2"/>
      </w:pPr>
      <w:r>
        <w:t>4.3 Tables to ADD (content verified from the code — paste-ready)</w:t>
      </w:r>
    </w:p>
    <w:p>
      <w:r>
        <w:rPr>
          <w:b/>
          <w:i w:val="0"/>
        </w:rPr>
        <w:t>Table — Hyperparameters &amp; training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Setting</w:t>
            </w:r>
          </w:p>
        </w:tc>
        <w:tc>
          <w:tcPr>
            <w:tcW w:type="dxa" w:w="2880"/>
          </w:tcPr>
          <w:p>
            <w:r/>
            <w:r>
              <w:rPr>
                <w:b/>
              </w:rPr>
              <w:t>C-MAPSS</w:t>
            </w:r>
          </w:p>
        </w:tc>
        <w:tc>
          <w:tcPr>
            <w:tcW w:type="dxa" w:w="2880"/>
          </w:tcPr>
          <w:p>
            <w:r/>
            <w:r>
              <w:rPr>
                <w:b/>
              </w:rPr>
              <w:t>UAV synth</w:t>
            </w:r>
          </w:p>
        </w:tc>
      </w:tr>
      <w:tr>
        <w:tc>
          <w:tcPr>
            <w:tcW w:type="dxa" w:w="2880"/>
          </w:tcPr>
          <w:p>
            <w:r>
              <w:t>Window length T</w:t>
            </w:r>
          </w:p>
        </w:tc>
        <w:tc>
          <w:tcPr>
            <w:tcW w:type="dxa" w:w="2880"/>
          </w:tcPr>
          <w:p>
            <w:r>
              <w:t>30</w:t>
            </w:r>
          </w:p>
        </w:tc>
        <w:tc>
          <w:tcPr>
            <w:tcW w:type="dxa" w:w="2880"/>
          </w:tcPr>
          <w:p>
            <w:r>
              <w:t>50</w:t>
            </w:r>
          </w:p>
        </w:tc>
      </w:tr>
      <w:tr>
        <w:tc>
          <w:tcPr>
            <w:tcW w:type="dxa" w:w="2880"/>
          </w:tcPr>
          <w:p>
            <w:r>
              <w:t>Stride</w:t>
            </w:r>
          </w:p>
        </w:tc>
        <w:tc>
          <w:tcPr>
            <w:tcW w:type="dxa" w:w="2880"/>
          </w:tcPr>
          <w:p>
            <w:r>
              <w:t>1</w:t>
            </w:r>
          </w:p>
        </w:tc>
        <w:tc>
          <w:tcPr>
            <w:tcW w:type="dxa" w:w="2880"/>
          </w:tcPr>
          <w:p>
            <w:r>
              <w:t>5</w:t>
            </w:r>
          </w:p>
        </w:tc>
      </w:tr>
      <w:tr>
        <w:tc>
          <w:tcPr>
            <w:tcW w:type="dxa" w:w="2880"/>
          </w:tcPr>
          <w:p>
            <w:r>
              <w:t>Input channels F</w:t>
            </w:r>
          </w:p>
        </w:tc>
        <w:tc>
          <w:tcPr>
            <w:tcW w:type="dxa" w:w="2880"/>
          </w:tcPr>
          <w:p>
            <w:r>
              <w:t>14</w:t>
            </w:r>
          </w:p>
        </w:tc>
        <w:tc>
          <w:tcPr>
            <w:tcW w:type="dxa" w:w="2880"/>
          </w:tcPr>
          <w:p>
            <w:r>
              <w:t>22</w:t>
            </w:r>
          </w:p>
        </w:tc>
      </w:tr>
      <w:tr>
        <w:tc>
          <w:tcPr>
            <w:tcW w:type="dxa" w:w="2880"/>
          </w:tcPr>
          <w:p>
            <w:r>
              <w:t>RUL cap</w:t>
            </w:r>
          </w:p>
        </w:tc>
        <w:tc>
          <w:tcPr>
            <w:tcW w:type="dxa" w:w="2880"/>
          </w:tcPr>
          <w:p>
            <w:r>
              <w:t>125 cycles</w:t>
            </w:r>
          </w:p>
        </w:tc>
        <w:tc>
          <w:tcPr>
            <w:tcW w:type="dxa" w:w="2880"/>
          </w:tcPr>
          <w:p>
            <w:r>
              <w:t>100 flight-h</w:t>
            </w:r>
          </w:p>
        </w:tc>
      </w:tr>
      <w:tr>
        <w:tc>
          <w:tcPr>
            <w:tcW w:type="dxa" w:w="2880"/>
          </w:tcPr>
          <w:p>
            <w:r>
              <w:t>Batch size</w:t>
            </w:r>
          </w:p>
        </w:tc>
        <w:tc>
          <w:tcPr>
            <w:tcW w:type="dxa" w:w="2880"/>
          </w:tcPr>
          <w:p>
            <w:r>
              <w:t>512</w:t>
            </w:r>
          </w:p>
        </w:tc>
        <w:tc>
          <w:tcPr>
            <w:tcW w:type="dxa" w:w="2880"/>
          </w:tcPr>
          <w:p>
            <w:r>
              <w:t>256</w:t>
            </w:r>
          </w:p>
        </w:tc>
      </w:tr>
      <w:tr>
        <w:tc>
          <w:tcPr>
            <w:tcW w:type="dxa" w:w="2880"/>
          </w:tcPr>
          <w:p>
            <w:r>
              <w:t>Epochs</w:t>
            </w:r>
          </w:p>
        </w:tc>
        <w:tc>
          <w:tcPr>
            <w:tcW w:type="dxa" w:w="2880"/>
          </w:tcPr>
          <w:p>
            <w:r>
              <w:t>40</w:t>
            </w:r>
          </w:p>
        </w:tc>
        <w:tc>
          <w:tcPr>
            <w:tcW w:type="dxa" w:w="2880"/>
          </w:tcPr>
          <w:p>
            <w:r>
              <w:t>30</w:t>
            </w:r>
          </w:p>
        </w:tc>
      </w:tr>
      <w:tr>
        <w:tc>
          <w:tcPr>
            <w:tcW w:type="dxa" w:w="2880"/>
          </w:tcPr>
          <w:p>
            <w:r>
              <w:t>Optimiser</w:t>
            </w:r>
          </w:p>
        </w:tc>
        <w:tc>
          <w:tcPr>
            <w:tcW w:type="dxa" w:w="2880"/>
          </w:tcPr>
          <w:p>
            <w:r>
              <w:t>AdamW</w:t>
            </w:r>
          </w:p>
        </w:tc>
        <w:tc>
          <w:tcPr>
            <w:tcW w:type="dxa" w:w="2880"/>
          </w:tcPr>
          <w:p>
            <w:r>
              <w:t>AdamW</w:t>
            </w:r>
          </w:p>
        </w:tc>
      </w:tr>
      <w:tr>
        <w:tc>
          <w:tcPr>
            <w:tcW w:type="dxa" w:w="2880"/>
          </w:tcPr>
          <w:p>
            <w:r>
              <w:t>Weight decay</w:t>
            </w:r>
          </w:p>
        </w:tc>
        <w:tc>
          <w:tcPr>
            <w:tcW w:type="dxa" w:w="2880"/>
          </w:tcPr>
          <w:p>
            <w:r>
              <w:t>1e-4</w:t>
            </w:r>
          </w:p>
        </w:tc>
        <w:tc>
          <w:tcPr>
            <w:tcW w:type="dxa" w:w="2880"/>
          </w:tcPr>
          <w:p>
            <w:r>
              <w:t>1e-4</w:t>
            </w:r>
          </w:p>
        </w:tc>
      </w:tr>
      <w:tr>
        <w:tc>
          <w:tcPr>
            <w:tcW w:type="dxa" w:w="2880"/>
          </w:tcPr>
          <w:p>
            <w:r>
              <w:t>Initial LR</w:t>
            </w:r>
          </w:p>
        </w:tc>
        <w:tc>
          <w:tcPr>
            <w:tcW w:type="dxa" w:w="2880"/>
          </w:tcPr>
          <w:p>
            <w:r>
              <w:t>1e-3</w:t>
            </w:r>
          </w:p>
        </w:tc>
        <w:tc>
          <w:tcPr>
            <w:tcW w:type="dxa" w:w="2880"/>
          </w:tcPr>
          <w:p>
            <w:r>
              <w:t>1e-3</w:t>
            </w:r>
          </w:p>
        </w:tc>
      </w:tr>
      <w:tr>
        <w:tc>
          <w:tcPr>
            <w:tcW w:type="dxa" w:w="2880"/>
          </w:tcPr>
          <w:p>
            <w:r>
              <w:t>LR schedule</w:t>
            </w:r>
          </w:p>
        </w:tc>
        <w:tc>
          <w:tcPr>
            <w:tcW w:type="dxa" w:w="2880"/>
          </w:tcPr>
          <w:p>
            <w:r>
              <w:t>cosine -&gt; 0</w:t>
            </w:r>
          </w:p>
        </w:tc>
        <w:tc>
          <w:tcPr>
            <w:tcW w:type="dxa" w:w="2880"/>
          </w:tcPr>
          <w:p>
            <w:r>
              <w:t>cosine -&gt; 0</w:t>
            </w:r>
          </w:p>
        </w:tc>
      </w:tr>
      <w:tr>
        <w:tc>
          <w:tcPr>
            <w:tcW w:type="dxa" w:w="2880"/>
          </w:tcPr>
          <w:p>
            <w:r>
              <w:t>Gradient clip (norm)</w:t>
            </w:r>
          </w:p>
        </w:tc>
        <w:tc>
          <w:tcPr>
            <w:tcW w:type="dxa" w:w="2880"/>
          </w:tcPr>
          <w:p>
            <w:r>
              <w:t>5.0</w:t>
            </w:r>
          </w:p>
        </w:tc>
        <w:tc>
          <w:tcPr>
            <w:tcW w:type="dxa" w:w="2880"/>
          </w:tcPr>
          <w:p>
            <w:r>
              <w:t>5.0</w:t>
            </w:r>
          </w:p>
        </w:tc>
      </w:tr>
      <w:tr>
        <w:tc>
          <w:tcPr>
            <w:tcW w:type="dxa" w:w="2880"/>
          </w:tcPr>
          <w:p>
            <w:r>
              <w:t>Regression loss</w:t>
            </w:r>
          </w:p>
        </w:tc>
        <w:tc>
          <w:tcPr>
            <w:tcW w:type="dxa" w:w="2880"/>
          </w:tcPr>
          <w:p>
            <w:r>
              <w:t>MSE</w:t>
            </w:r>
          </w:p>
        </w:tc>
        <w:tc>
          <w:tcPr>
            <w:tcW w:type="dxa" w:w="2880"/>
          </w:tcPr>
          <w:p>
            <w:r>
              <w:t>MSE</w:t>
            </w:r>
          </w:p>
        </w:tc>
      </w:tr>
      <w:tr>
        <w:tc>
          <w:tcPr>
            <w:tcW w:type="dxa" w:w="2880"/>
          </w:tcPr>
          <w:p>
            <w:r>
              <w:t>Fault-loss weight λ</w:t>
            </w:r>
          </w:p>
        </w:tc>
        <w:tc>
          <w:tcPr>
            <w:tcW w:type="dxa" w:w="2880"/>
          </w:tcPr>
          <w:p>
            <w:r>
              <w:t>—</w:t>
            </w:r>
          </w:p>
        </w:tc>
        <w:tc>
          <w:tcPr>
            <w:tcW w:type="dxa" w:w="2880"/>
          </w:tcPr>
          <w:p>
            <w:r>
              <w:t>0.4</w:t>
            </w:r>
          </w:p>
        </w:tc>
      </w:tr>
      <w:tr>
        <w:tc>
          <w:tcPr>
            <w:tcW w:type="dxa" w:w="2880"/>
          </w:tcPr>
          <w:p>
            <w:r>
              <w:t>Random seed</w:t>
            </w:r>
          </w:p>
        </w:tc>
        <w:tc>
          <w:tcPr>
            <w:tcW w:type="dxa" w:w="2880"/>
          </w:tcPr>
          <w:p>
            <w:r>
              <w:t>1337</w:t>
            </w:r>
          </w:p>
        </w:tc>
        <w:tc>
          <w:tcPr>
            <w:tcW w:type="dxa" w:w="2880"/>
          </w:tcPr>
          <w:p>
            <w:r>
              <w:t>1337</w:t>
            </w:r>
          </w:p>
        </w:tc>
      </w:tr>
    </w:tbl>
    <w:p/>
    <w:p>
      <w:r>
        <w:rPr>
          <w:b/>
          <w:i w:val="0"/>
        </w:rPr>
        <w:t>Table — C-MAPSS composition (test total = 707 matches your headline):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Subset</w:t>
            </w:r>
          </w:p>
        </w:tc>
        <w:tc>
          <w:tcPr>
            <w:tcW w:type="dxa" w:w="1728"/>
          </w:tcPr>
          <w:p>
            <w:r/>
            <w:r>
              <w:rPr>
                <w:b/>
              </w:rPr>
              <w:t>Op. conditions</w:t>
            </w:r>
          </w:p>
        </w:tc>
        <w:tc>
          <w:tcPr>
            <w:tcW w:type="dxa" w:w="1728"/>
          </w:tcPr>
          <w:p>
            <w:r/>
            <w:r>
              <w:rPr>
                <w:b/>
              </w:rPr>
              <w:t>Fault modes</w:t>
            </w:r>
          </w:p>
        </w:tc>
        <w:tc>
          <w:tcPr>
            <w:tcW w:type="dxa" w:w="1728"/>
          </w:tcPr>
          <w:p>
            <w:r/>
            <w:r>
              <w:rPr>
                <w:b/>
              </w:rPr>
              <w:t>Train engines</w:t>
            </w:r>
          </w:p>
        </w:tc>
        <w:tc>
          <w:tcPr>
            <w:tcW w:type="dxa" w:w="1728"/>
          </w:tcPr>
          <w:p>
            <w:r/>
            <w:r>
              <w:rPr>
                <w:b/>
              </w:rPr>
              <w:t>Test engines</w:t>
            </w:r>
          </w:p>
        </w:tc>
      </w:tr>
      <w:tr>
        <w:tc>
          <w:tcPr>
            <w:tcW w:type="dxa" w:w="1728"/>
          </w:tcPr>
          <w:p>
            <w:r>
              <w:t>FD001</w:t>
            </w:r>
          </w:p>
        </w:tc>
        <w:tc>
          <w:tcPr>
            <w:tcW w:type="dxa" w:w="1728"/>
          </w:tcPr>
          <w:p>
            <w:r>
              <w:t>1</w:t>
            </w:r>
          </w:p>
        </w:tc>
        <w:tc>
          <w:tcPr>
            <w:tcW w:type="dxa" w:w="1728"/>
          </w:tcPr>
          <w:p>
            <w:r>
              <w:t>1</w:t>
            </w:r>
          </w:p>
        </w:tc>
        <w:tc>
          <w:tcPr>
            <w:tcW w:type="dxa" w:w="1728"/>
          </w:tcPr>
          <w:p>
            <w:r>
              <w:t>100</w:t>
            </w:r>
          </w:p>
        </w:tc>
        <w:tc>
          <w:tcPr>
            <w:tcW w:type="dxa" w:w="1728"/>
          </w:tcPr>
          <w:p>
            <w:r>
              <w:t>100</w:t>
            </w:r>
          </w:p>
        </w:tc>
      </w:tr>
      <w:tr>
        <w:tc>
          <w:tcPr>
            <w:tcW w:type="dxa" w:w="1728"/>
          </w:tcPr>
          <w:p>
            <w:r>
              <w:t>FD002</w:t>
            </w:r>
          </w:p>
        </w:tc>
        <w:tc>
          <w:tcPr>
            <w:tcW w:type="dxa" w:w="1728"/>
          </w:tcPr>
          <w:p>
            <w:r>
              <w:t>6</w:t>
            </w:r>
          </w:p>
        </w:tc>
        <w:tc>
          <w:tcPr>
            <w:tcW w:type="dxa" w:w="1728"/>
          </w:tcPr>
          <w:p>
            <w:r>
              <w:t>1</w:t>
            </w:r>
          </w:p>
        </w:tc>
        <w:tc>
          <w:tcPr>
            <w:tcW w:type="dxa" w:w="1728"/>
          </w:tcPr>
          <w:p>
            <w:r>
              <w:t>260</w:t>
            </w:r>
          </w:p>
        </w:tc>
        <w:tc>
          <w:tcPr>
            <w:tcW w:type="dxa" w:w="1728"/>
          </w:tcPr>
          <w:p>
            <w:r>
              <w:t>259</w:t>
            </w:r>
          </w:p>
        </w:tc>
      </w:tr>
      <w:tr>
        <w:tc>
          <w:tcPr>
            <w:tcW w:type="dxa" w:w="1728"/>
          </w:tcPr>
          <w:p>
            <w:r>
              <w:t>FD003</w:t>
            </w:r>
          </w:p>
        </w:tc>
        <w:tc>
          <w:tcPr>
            <w:tcW w:type="dxa" w:w="1728"/>
          </w:tcPr>
          <w:p>
            <w:r>
              <w:t>1</w:t>
            </w:r>
          </w:p>
        </w:tc>
        <w:tc>
          <w:tcPr>
            <w:tcW w:type="dxa" w:w="1728"/>
          </w:tcPr>
          <w:p>
            <w:r>
              <w:t>2</w:t>
            </w:r>
          </w:p>
        </w:tc>
        <w:tc>
          <w:tcPr>
            <w:tcW w:type="dxa" w:w="1728"/>
          </w:tcPr>
          <w:p>
            <w:r>
              <w:t>100</w:t>
            </w:r>
          </w:p>
        </w:tc>
        <w:tc>
          <w:tcPr>
            <w:tcW w:type="dxa" w:w="1728"/>
          </w:tcPr>
          <w:p>
            <w:r>
              <w:t>100</w:t>
            </w:r>
          </w:p>
        </w:tc>
      </w:tr>
      <w:tr>
        <w:tc>
          <w:tcPr>
            <w:tcW w:type="dxa" w:w="1728"/>
          </w:tcPr>
          <w:p>
            <w:r>
              <w:t>FD004</w:t>
            </w:r>
          </w:p>
        </w:tc>
        <w:tc>
          <w:tcPr>
            <w:tcW w:type="dxa" w:w="1728"/>
          </w:tcPr>
          <w:p>
            <w:r>
              <w:t>6</w:t>
            </w:r>
          </w:p>
        </w:tc>
        <w:tc>
          <w:tcPr>
            <w:tcW w:type="dxa" w:w="1728"/>
          </w:tcPr>
          <w:p>
            <w:r>
              <w:t>2</w:t>
            </w:r>
          </w:p>
        </w:tc>
        <w:tc>
          <w:tcPr>
            <w:tcW w:type="dxa" w:w="1728"/>
          </w:tcPr>
          <w:p>
            <w:r>
              <w:t>249</w:t>
            </w:r>
          </w:p>
        </w:tc>
        <w:tc>
          <w:tcPr>
            <w:tcW w:type="dxa" w:w="1728"/>
          </w:tcPr>
          <w:p>
            <w:r>
              <w:t>248</w:t>
            </w:r>
          </w:p>
        </w:tc>
      </w:tr>
      <w:tr>
        <w:tc>
          <w:tcPr>
            <w:tcW w:type="dxa" w:w="1728"/>
          </w:tcPr>
          <w:p>
            <w:r>
              <w:t>Combined</w:t>
            </w:r>
          </w:p>
        </w:tc>
        <w:tc>
          <w:tcPr>
            <w:tcW w:type="dxa" w:w="1728"/>
          </w:tcPr>
          <w:p>
            <w:r>
              <w:t>—</w:t>
            </w:r>
          </w:p>
        </w:tc>
        <w:tc>
          <w:tcPr>
            <w:tcW w:type="dxa" w:w="1728"/>
          </w:tcPr>
          <w:p>
            <w:r>
              <w:t>—</w:t>
            </w:r>
          </w:p>
        </w:tc>
        <w:tc>
          <w:tcPr>
            <w:tcW w:type="dxa" w:w="1728"/>
          </w:tcPr>
          <w:p>
            <w:r>
              <w:t>709</w:t>
            </w:r>
          </w:p>
        </w:tc>
        <w:tc>
          <w:tcPr>
            <w:tcW w:type="dxa" w:w="1728"/>
          </w:tcPr>
          <w:p>
            <w:r>
              <w:t>707</w:t>
            </w:r>
          </w:p>
        </w:tc>
      </w:tr>
    </w:tbl>
    <w:p/>
    <w:p>
      <w:r>
        <w:rPr>
          <w:b w:val="0"/>
          <w:i/>
        </w:rPr>
        <w:t>Note: the 709 train engines yield 139,798 sliding windows; a 10% internal validation hold-out leaves 125,819 training windows (the figure already in your paper).</w:t>
      </w:r>
    </w:p>
    <w:p>
      <w:r>
        <w:rPr>
          <w:b/>
          <w:i w:val="0"/>
        </w:rPr>
        <w:t>Table — UAV synthetic fleet:</w:t>
      </w:r>
    </w:p>
    <w:tbl>
      <w:tblPr>
        <w:tblStyle w:val="TableGrid"/>
        <w:tblW w:type="auto" w:w="0"/>
        <w:tblLook w:firstColumn="1" w:firstRow="1" w:lastColumn="0" w:lastRow="0" w:noHBand="0" w:noVBand="1" w:val="04A0"/>
      </w:tblPr>
      <w:tblGrid>
        <w:gridCol w:w="4320"/>
        <w:gridCol w:w="4320"/>
      </w:tblGrid>
      <w:tr>
        <w:tc>
          <w:tcPr>
            <w:tcW w:type="dxa" w:w="4320"/>
          </w:tcPr>
          <w:p>
            <w:r/>
            <w:r>
              <w:rPr>
                <w:b/>
              </w:rPr>
              <w:t>Property</w:t>
            </w:r>
          </w:p>
        </w:tc>
        <w:tc>
          <w:tcPr>
            <w:tcW w:type="dxa" w:w="4320"/>
          </w:tcPr>
          <w:p>
            <w:r/>
            <w:r>
              <w:rPr>
                <w:b/>
              </w:rPr>
              <w:t>Value</w:t>
            </w:r>
          </w:p>
        </w:tc>
      </w:tr>
      <w:tr>
        <w:tc>
          <w:tcPr>
            <w:tcW w:type="dxa" w:w="4320"/>
          </w:tcPr>
          <w:p>
            <w:r>
              <w:t>Airframes x flights</w:t>
            </w:r>
          </w:p>
        </w:tc>
        <w:tc>
          <w:tcPr>
            <w:tcW w:type="dxa" w:w="4320"/>
          </w:tcPr>
          <w:p>
            <w:r>
              <w:t>20 x 10</w:t>
            </w:r>
          </w:p>
        </w:tc>
      </w:tr>
      <w:tr>
        <w:tc>
          <w:tcPr>
            <w:tcW w:type="dxa" w:w="4320"/>
          </w:tcPr>
          <w:p>
            <w:r>
              <w:t>Flight duration</w:t>
            </w:r>
          </w:p>
        </w:tc>
        <w:tc>
          <w:tcPr>
            <w:tcW w:type="dxa" w:w="4320"/>
          </w:tcPr>
          <w:p>
            <w:r>
              <w:t>800–1300 s (~13–22 min)</w:t>
            </w:r>
          </w:p>
        </w:tc>
      </w:tr>
      <w:tr>
        <w:tc>
          <w:tcPr>
            <w:tcW w:type="dxa" w:w="4320"/>
          </w:tcPr>
          <w:p>
            <w:r>
              <w:t>Sample rate</w:t>
            </w:r>
          </w:p>
        </w:tc>
        <w:tc>
          <w:tcPr>
            <w:tcW w:type="dxa" w:w="4320"/>
          </w:tcPr>
          <w:p>
            <w:r>
              <w:t>10 Hz</w:t>
            </w:r>
          </w:p>
        </w:tc>
      </w:tr>
      <w:tr>
        <w:tc>
          <w:tcPr>
            <w:tcW w:type="dxa" w:w="4320"/>
          </w:tcPr>
          <w:p>
            <w:r>
              <w:t>Sensor channels</w:t>
            </w:r>
          </w:p>
        </w:tc>
        <w:tc>
          <w:tcPr>
            <w:tcW w:type="dxa" w:w="4320"/>
          </w:tcPr>
          <w:p>
            <w:r>
              <w:t>22 (+ t, phase)</w:t>
            </w:r>
          </w:p>
        </w:tc>
      </w:tr>
      <w:tr>
        <w:tc>
          <w:tcPr>
            <w:tcW w:type="dxa" w:w="4320"/>
          </w:tcPr>
          <w:p>
            <w:r>
              <w:t>Window x stride</w:t>
            </w:r>
          </w:p>
        </w:tc>
        <w:tc>
          <w:tcPr>
            <w:tcW w:type="dxa" w:w="4320"/>
          </w:tcPr>
          <w:p>
            <w:r>
              <w:t>50 x 5</w:t>
            </w:r>
          </w:p>
        </w:tc>
      </w:tr>
      <w:tr>
        <w:tc>
          <w:tcPr>
            <w:tcW w:type="dxa" w:w="4320"/>
          </w:tcPr>
          <w:p>
            <w:r>
              <w:t>RUL cap / EOL</w:t>
            </w:r>
          </w:p>
        </w:tc>
        <w:tc>
          <w:tcPr>
            <w:tcW w:type="dxa" w:w="4320"/>
          </w:tcPr>
          <w:p>
            <w:r>
              <w:t>100 flight-h / 4.0 h</w:t>
            </w:r>
          </w:p>
        </w:tc>
      </w:tr>
      <w:tr>
        <w:tc>
          <w:tcPr>
            <w:tcW w:type="dxa" w:w="4320"/>
          </w:tcPr>
          <w:p>
            <w:r>
              <w:t>Fault classes (prob.)</w:t>
            </w:r>
          </w:p>
        </w:tc>
        <w:tc>
          <w:tcPr>
            <w:tcW w:type="dxa" w:w="4320"/>
          </w:tcPr>
          <w:p>
            <w:r>
              <w:t>healthy .25 | bearing .30 | esc_thermal .25 | battery .20</w:t>
            </w:r>
          </w:p>
        </w:tc>
      </w:tr>
      <w:tr>
        <w:tc>
          <w:tcPr>
            <w:tcW w:type="dxa" w:w="4320"/>
          </w:tcPr>
          <w:p>
            <w:r>
              <w:t>Train / val windows</w:t>
            </w:r>
          </w:p>
        </w:tc>
        <w:tc>
          <w:tcPr>
            <w:tcW w:type="dxa" w:w="4320"/>
          </w:tcPr>
          <w:p>
            <w:r>
              <w:t>301,017 / 85,292</w:t>
            </w:r>
          </w:p>
        </w:tc>
      </w:tr>
      <w:tr>
        <w:tc>
          <w:tcPr>
            <w:tcW w:type="dxa" w:w="4320"/>
          </w:tcPr>
          <w:p>
            <w:r>
              <w:t>Validation split</w:t>
            </w:r>
          </w:p>
        </w:tc>
        <w:tc>
          <w:tcPr>
            <w:tcW w:type="dxa" w:w="4320"/>
          </w:tcPr>
          <w:p>
            <w:r>
              <w:t>stratified hold-out by airframe (~20% per class)</w:t>
            </w:r>
          </w:p>
        </w:tc>
      </w:tr>
    </w:tbl>
    <w:p/>
    <w:p>
      <w:r>
        <w:rPr>
          <w:b/>
          <w:i w:val="0"/>
        </w:rPr>
        <w:t>Table — Architecture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r>
          </w:p>
        </w:tc>
        <w:tc>
          <w:tcPr>
            <w:tcW w:type="dxa" w:w="2160"/>
          </w:tcPr>
          <w:p>
            <w:r/>
            <w:r>
              <w:rPr>
                <w:b/>
              </w:rPr>
              <w:t>LSTM</w:t>
            </w:r>
          </w:p>
        </w:tc>
        <w:tc>
          <w:tcPr>
            <w:tcW w:type="dxa" w:w="2160"/>
          </w:tcPr>
          <w:p>
            <w:r/>
            <w:r>
              <w:rPr>
                <w:b/>
              </w:rPr>
              <w:t>1D-CNN</w:t>
            </w:r>
          </w:p>
        </w:tc>
        <w:tc>
          <w:tcPr>
            <w:tcW w:type="dxa" w:w="2160"/>
          </w:tcPr>
          <w:p>
            <w:r/>
            <w:r>
              <w:rPr>
                <w:b/>
              </w:rPr>
              <w:t>Transformer</w:t>
            </w:r>
          </w:p>
        </w:tc>
      </w:tr>
      <w:tr>
        <w:tc>
          <w:tcPr>
            <w:tcW w:type="dxa" w:w="2160"/>
          </w:tcPr>
          <w:p>
            <w:r>
              <w:t>Core</w:t>
            </w:r>
          </w:p>
        </w:tc>
        <w:tc>
          <w:tcPr>
            <w:tcW w:type="dxa" w:w="2160"/>
          </w:tcPr>
          <w:p>
            <w:r>
              <w:t>2-layer stacked LSTM</w:t>
            </w:r>
          </w:p>
        </w:tc>
        <w:tc>
          <w:tcPr>
            <w:tcW w:type="dxa" w:w="2160"/>
          </w:tcPr>
          <w:p>
            <w:r>
              <w:t>4 conv blocks</w:t>
            </w:r>
          </w:p>
        </w:tc>
        <w:tc>
          <w:tcPr>
            <w:tcW w:type="dxa" w:w="2160"/>
          </w:tcPr>
          <w:p>
            <w:r>
              <w:t>2 encoder layers</w:t>
            </w:r>
          </w:p>
        </w:tc>
      </w:tr>
      <w:tr>
        <w:tc>
          <w:tcPr>
            <w:tcW w:type="dxa" w:w="2160"/>
          </w:tcPr>
          <w:p>
            <w:r>
              <w:t>Width</w:t>
            </w:r>
          </w:p>
        </w:tc>
        <w:tc>
          <w:tcPr>
            <w:tcW w:type="dxa" w:w="2160"/>
          </w:tcPr>
          <w:p>
            <w:r>
              <w:t>hidden 96</w:t>
            </w:r>
          </w:p>
        </w:tc>
        <w:tc>
          <w:tcPr>
            <w:tcW w:type="dxa" w:w="2160"/>
          </w:tcPr>
          <w:p>
            <w:r>
              <w:t>64 channels</w:t>
            </w:r>
          </w:p>
        </w:tc>
        <w:tc>
          <w:tcPr>
            <w:tcW w:type="dxa" w:w="2160"/>
          </w:tcPr>
          <w:p>
            <w:r>
              <w:t>d_model 96</w:t>
            </w:r>
          </w:p>
        </w:tc>
      </w:tr>
      <w:tr>
        <w:tc>
          <w:tcPr>
            <w:tcW w:type="dxa" w:w="2160"/>
          </w:tcPr>
          <w:p>
            <w:r>
              <w:t>Kernel / heads / FFN</w:t>
            </w:r>
          </w:p>
        </w:tc>
        <w:tc>
          <w:tcPr>
            <w:tcW w:type="dxa" w:w="2160"/>
          </w:tcPr>
          <w:p>
            <w:r>
              <w:t>—</w:t>
            </w:r>
          </w:p>
        </w:tc>
        <w:tc>
          <w:tcPr>
            <w:tcW w:type="dxa" w:w="2160"/>
          </w:tcPr>
          <w:p>
            <w:r>
              <w:t>kernel 5 (same pad)</w:t>
            </w:r>
          </w:p>
        </w:tc>
        <w:tc>
          <w:tcPr>
            <w:tcW w:type="dxa" w:w="2160"/>
          </w:tcPr>
          <w:p>
            <w:r>
              <w:t>4 heads | FFN 192 (GELU)</w:t>
            </w:r>
          </w:p>
        </w:tc>
      </w:tr>
      <w:tr>
        <w:tc>
          <w:tcPr>
            <w:tcW w:type="dxa" w:w="2160"/>
          </w:tcPr>
          <w:p>
            <w:r>
              <w:t>Temporal pooling</w:t>
            </w:r>
          </w:p>
        </w:tc>
        <w:tc>
          <w:tcPr>
            <w:tcW w:type="dxa" w:w="2160"/>
          </w:tcPr>
          <w:p>
            <w:r>
              <w:t>last hidden state</w:t>
            </w:r>
          </w:p>
        </w:tc>
        <w:tc>
          <w:tcPr>
            <w:tcW w:type="dxa" w:w="2160"/>
          </w:tcPr>
          <w:p>
            <w:r>
              <w:t>global average pool</w:t>
            </w:r>
          </w:p>
        </w:tc>
        <w:tc>
          <w:tcPr>
            <w:tcW w:type="dxa" w:w="2160"/>
          </w:tcPr>
          <w:p>
            <w:r>
              <w:t>mean over time</w:t>
            </w:r>
          </w:p>
        </w:tc>
      </w:tr>
      <w:tr>
        <w:tc>
          <w:tcPr>
            <w:tcW w:type="dxa" w:w="2160"/>
          </w:tcPr>
          <w:p>
            <w:r>
              <w:t>Dropout</w:t>
            </w:r>
          </w:p>
        </w:tc>
        <w:tc>
          <w:tcPr>
            <w:tcW w:type="dxa" w:w="2160"/>
          </w:tcPr>
          <w:p>
            <w:r>
              <w:t>0.25</w:t>
            </w:r>
          </w:p>
        </w:tc>
        <w:tc>
          <w:tcPr>
            <w:tcW w:type="dxa" w:w="2160"/>
          </w:tcPr>
          <w:p>
            <w:r>
              <w:t>0.3</w:t>
            </w:r>
          </w:p>
        </w:tc>
        <w:tc>
          <w:tcPr>
            <w:tcW w:type="dxa" w:w="2160"/>
          </w:tcPr>
          <w:p>
            <w:r>
              <w:t>0.2</w:t>
            </w:r>
          </w:p>
        </w:tc>
      </w:tr>
      <w:tr>
        <w:tc>
          <w:tcPr>
            <w:tcW w:type="dxa" w:w="2160"/>
          </w:tcPr>
          <w:p>
            <w:r>
              <w:t>Regression head</w:t>
            </w:r>
          </w:p>
        </w:tc>
        <w:tc>
          <w:tcPr>
            <w:tcW w:type="dxa" w:w="2160"/>
          </w:tcPr>
          <w:p>
            <w:r>
              <w:t>96-&gt;64-&gt;1</w:t>
            </w:r>
          </w:p>
        </w:tc>
        <w:tc>
          <w:tcPr>
            <w:tcW w:type="dxa" w:w="2160"/>
          </w:tcPr>
          <w:p>
            <w:r>
              <w:t>64-&gt;64-&gt;1</w:t>
            </w:r>
          </w:p>
        </w:tc>
        <w:tc>
          <w:tcPr>
            <w:tcW w:type="dxa" w:w="2160"/>
          </w:tcPr>
          <w:p>
            <w:r>
              <w:t>LN-&gt;96-&gt;64-&gt;1</w:t>
            </w:r>
          </w:p>
        </w:tc>
      </w:tr>
      <w:tr>
        <w:tc>
          <w:tcPr>
            <w:tcW w:type="dxa" w:w="2160"/>
          </w:tcPr>
          <w:p>
            <w:r>
              <w:t>Fault head (UAV)</w:t>
            </w:r>
          </w:p>
        </w:tc>
        <w:tc>
          <w:tcPr>
            <w:tcW w:type="dxa" w:w="2160"/>
          </w:tcPr>
          <w:p>
            <w:r>
              <w:t>96-&gt;4</w:t>
            </w:r>
          </w:p>
        </w:tc>
        <w:tc>
          <w:tcPr>
            <w:tcW w:type="dxa" w:w="2160"/>
          </w:tcPr>
          <w:p>
            <w:r>
              <w:t>64-&gt;4</w:t>
            </w:r>
          </w:p>
        </w:tc>
        <w:tc>
          <w:tcPr>
            <w:tcW w:type="dxa" w:w="2160"/>
          </w:tcPr>
          <w:p>
            <w:r>
              <w:t>96-&gt;4</w:t>
            </w:r>
          </w:p>
        </w:tc>
      </w:tr>
    </w:tbl>
    <w:p/>
    <w:p>
      <w:r>
        <w:br w:type="page"/>
      </w:r>
    </w:p>
    <w:p>
      <w:pPr>
        <w:pStyle w:val="Heading1"/>
      </w:pPr>
      <w:r>
        <w:t>PART 5 — Appendix guidance</w:t>
      </w:r>
    </w:p>
    <w:p>
      <w:r>
        <w:rPr>
          <w:b w:val="0"/>
          <w:i w:val="0"/>
        </w:rPr>
        <w:t>Your idea (code snapshots + UI screenshots) is right. A strong MSc appendix is selective evidence the examiner can skim — not a code dump. Suggested structure:</w:t>
      </w:r>
    </w:p>
    <w:p>
      <w:r>
        <w:rPr>
          <w:b/>
          <w:i w:val="0"/>
        </w:rPr>
        <w:t>Appendix A — Reproducibility</w:t>
      </w:r>
    </w:p>
    <w:p>
      <w:r>
        <w:rPr>
          <w:b w:val="0"/>
          <w:i w:val="0"/>
        </w:rPr>
        <w:t>•  The exact commands (python -m venv .venv; pip install -r requirements.txt; make phase1; npm install &amp;&amp; npm run dev; make backend).</w:t>
      </w:r>
    </w:p>
    <w:p>
      <w:r>
        <w:rPr>
          <w:b w:val="0"/>
          <w:i w:val="0"/>
        </w:rPr>
        <w:t>•  requirements.txt and key versions (Python 3.13.3, torch &gt;=2.1, captum 0.9, FastAPI). • Hardware (Apple Silicon, MPS). • Seed (1337).</w:t>
      </w:r>
    </w:p>
    <w:p>
      <w:r>
        <w:rPr>
          <w:b/>
          <w:i w:val="0"/>
        </w:rPr>
        <w:t>Appendix B — Selected code listings (snapshots, not full files)</w:t>
      </w:r>
    </w:p>
    <w:p>
      <w:r>
        <w:rPr>
          <w:b w:val="0"/>
          <w:i w:val="0"/>
        </w:rPr>
        <w:t>•  The three model definitions — short, and they directly back your §4.2 architecture claims: ml/models/lstm.py, cnn.py, transformer.py (esp. the in-house attention layer that exposes attn weights).</w:t>
      </w:r>
    </w:p>
    <w:p>
      <w:r>
        <w:rPr>
          <w:b w:val="0"/>
          <w:i w:val="0"/>
        </w:rPr>
        <w:t>•  The combined-loss / training step from ml/train.py (the λ = 0.4 fault weight, gradient clip, cosine schedule).</w:t>
      </w:r>
    </w:p>
    <w:p>
      <w:r>
        <w:rPr>
          <w:b w:val="0"/>
          <w:i w:val="0"/>
        </w:rPr>
        <w:t>•  The IG + attention extraction from ml/xai.py (now Captum) — backs §4.4.</w:t>
      </w:r>
    </w:p>
    <w:p>
      <w:r>
        <w:rPr>
          <w:b w:val="0"/>
          <w:i w:val="0"/>
        </w:rPr>
        <w:t>•  The UAV degradation model excerpt from ml/data/uav_synth.py (fault injection + battery model + END_OF_LIFE_HOURS) — backs §4.1.2 and the §7.2 calibration discussion.</w:t>
      </w:r>
    </w:p>
    <w:p>
      <w:r>
        <w:rPr>
          <w:b w:val="0"/>
          <w:i w:val="0"/>
        </w:rPr>
        <w:t>•  Use a monospace font (Consolas 8–9 pt) with file path + a one-line caption per listing. Keep each to the relevant function, not the whole file.</w:t>
      </w:r>
    </w:p>
    <w:p>
      <w:r>
        <w:rPr>
          <w:b/>
          <w:i w:val="0"/>
        </w:rPr>
        <w:t>Appendix C — Dashboard screenshots (the four views)</w:t>
      </w:r>
    </w:p>
    <w:p>
      <w:r>
        <w:rPr>
          <w:b w:val="0"/>
          <w:i w:val="0"/>
        </w:rPr>
        <w:t>•  Armory (3D fleet carousel), Mission (live HUD: radar + telemetry + health + live chart, ideally in LIVE INFERENCE mode), Diagnostics (wireframe + attention heatmap + IG bar + maintenance readout), Lab (results table + training curves + per-asset bars). 2–4 captioned screenshots.</w:t>
      </w:r>
    </w:p>
    <w:p>
      <w:r>
        <w:rPr>
          <w:b/>
          <w:i w:val="0"/>
        </w:rPr>
        <w:t>Appendix D — Full results / extra figures (optional)</w:t>
      </w:r>
    </w:p>
    <w:p>
      <w:r>
        <w:rPr>
          <w:b w:val="0"/>
          <w:i w:val="0"/>
        </w:rPr>
        <w:t>•  The complete results table (results.csv) and any per-subset breakdowns; larger versions of the PART 4 figures; example raw telemetry rows.</w:t>
      </w:r>
    </w:p>
    <w:p>
      <w:r>
        <w:rPr>
          <w:b w:val="0"/>
          <w:i/>
        </w:rPr>
        <w:t>Cross-reference every appendix item from the main text (e.g. "see Appendix B.1"), otherwise markers may not credit it.</w:t>
      </w:r>
    </w:p>
    <w:p>
      <w:r>
        <w:br w:type="page"/>
      </w:r>
    </w:p>
    <w:p>
      <w:pPr>
        <w:pStyle w:val="Heading1"/>
      </w:pPr>
      <w:r>
        <w:t>PART 6 — Optional clarifications (strengthen rigour; not corrections)</w:t>
      </w:r>
    </w:p>
    <w:p>
      <w:r>
        <w:rPr>
          <w:b w:val="0"/>
          <w:i w:val="0"/>
        </w:rPr>
        <w:t>H — §4.1.1: note that C-MAPSS normalisation is per-operating-condition z-score (k-means with 6 clusters on the operational settings for FD002/FD004; a single global cluster for FD001/FD003). More precise than "z-score normalisation" and shows methodological care.</w:t>
      </w:r>
    </w:p>
    <w:p>
      <w:r>
        <w:rPr>
          <w:b w:val="0"/>
          <w:i w:val="0"/>
        </w:rPr>
        <w:t>I — §4.1.1: the 14 retained sensors are applied as a fixed, standard index set rather than detected dynamically per run; the outcome is identical (the same 14 informative channels). One clause avoids over-claiming an automatic step.</w:t>
      </w:r>
    </w:p>
    <w:p>
      <w:r>
        <w:rPr>
          <w:b w:val="0"/>
          <w:i w:val="0"/>
        </w:rPr>
        <w:t>N — §4.3: add one sentence that gradients are clipped to a max-norm of 5.0 (it is in train.py) — a small, free rigour point.</w:t>
      </w:r>
    </w:p>
    <w:p>
      <w:r>
        <w:rPr>
          <w:b w:val="0"/>
          <w:i w:val="0"/>
        </w:rPr>
        <w:t>O — §5.3 (demo coherence): the dashboard labels the 12 assets with tactical class names (MISSILE-AGM, MISSILE-CRUISE, UAV-STRIKE, UAV-RECON, UAV-SWARM). These map to data provenance — the 8 C-MAPSS-backed assets (turbofan, 14 channels) and 4 UAV-synth assets (quadrotor, 22 channels). An examiner viewing the demo sees tactical names the paper never mentions; one sentence ("the eight turbofan-backed and four quadrotor-backed assets are given thematic tactical designations in the interface") removes the surprise.</w:t>
      </w:r>
    </w:p>
    <w:p>
      <w:r>
        <w:br w:type="page"/>
      </w:r>
    </w:p>
    <w:p>
      <w:pPr>
        <w:pStyle w:val="Heading1"/>
      </w:pPr>
      <w:r>
        <w:t>Pre-submission checklist</w:t>
      </w:r>
    </w:p>
    <w:p>
      <w:pPr>
        <w:pStyle w:val="ListBullet"/>
      </w:pPr>
      <w:r>
        <w:t>A1–A3: fault weight 0.5 -&gt; 0.4 (three places)</w:t>
      </w:r>
    </w:p>
    <w:p>
      <w:pPr>
        <w:pStyle w:val="ListBullet"/>
      </w:pPr>
      <w:r>
        <w:t>B1–B3: rewrite the "no early stopping / final-epoch" claims to best-validation checkpoint</w:t>
      </w:r>
    </w:p>
    <w:p>
      <w:pPr>
        <w:pStyle w:val="ListBullet"/>
      </w:pPr>
      <w:r>
        <w:t>D1: UAV stride "one timestep" -&gt; five timesteps (do NOT touch C-MAPSS stride)</w:t>
      </w:r>
    </w:p>
    <w:p>
      <w:pPr>
        <w:pStyle w:val="ListBullet"/>
      </w:pPr>
      <w:r>
        <w:t>E1: UAV "21 sensor measurements" -&gt; 22 channels (do NOT touch C-MAPSS 21)</w:t>
      </w:r>
    </w:p>
    <w:p>
      <w:pPr>
        <w:pStyle w:val="ListBullet"/>
      </w:pPr>
      <w:r>
        <w:t>F: Table 2 1D-CNN train time 312.2 -&gt; 321.2</w:t>
      </w:r>
    </w:p>
    <w:p>
      <w:pPr>
        <w:pStyle w:val="ListBullet"/>
      </w:pPr>
      <w:r>
        <w:t>G1: battery resistance "1.6 times" -&gt; ~2.6x / 160% increase</w:t>
      </w:r>
    </w:p>
    <w:p>
      <w:pPr>
        <w:pStyle w:val="ListBullet"/>
      </w:pPr>
      <w:r>
        <w:t>K1–K4: "RUL trajectory/overlay" -&gt; grouped bar comparison (4 places)</w:t>
      </w:r>
    </w:p>
    <w:p>
      <w:pPr>
        <w:pStyle w:val="ListBullet"/>
      </w:pPr>
      <w:r>
        <w:t>Embed the 7 ready figures (PART 4.1) — incl. the new architecture + degradation figures</w:t>
      </w:r>
    </w:p>
    <w:p>
      <w:pPr>
        <w:pStyle w:val="ListBullet"/>
      </w:pPr>
      <w:r>
        <w:t>Add the 4 paste-ready tables (PART 4.3)</w:t>
      </w:r>
    </w:p>
    <w:p>
      <w:pPr>
        <w:pStyle w:val="ListBullet"/>
      </w:pPr>
      <w:r>
        <w:t>Capture the 4 dashboard screenshots (PART 4.2 / Appendix C)</w:t>
      </w:r>
    </w:p>
    <w:p>
      <w:pPr>
        <w:pStyle w:val="ListBullet"/>
      </w:pPr>
      <w:r>
        <w:t>Add the equations from PART 3 to §4</w:t>
      </w:r>
    </w:p>
    <w:p>
      <w:pPr>
        <w:pStyle w:val="ListBullet"/>
      </w:pPr>
      <w:r>
        <w:t>Build the appendix (PART 5)</w:t>
      </w:r>
    </w:p>
    <w:p>
      <w:pPr>
        <w:pStyle w:val="ListBullet"/>
      </w:pPr>
      <w:r>
        <w:t>(Optional) H, I, N, O clarifications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