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il" w:color="FFFFFF" w:sz="0"/>
              <w:left w:val="nil" w:color="FFFFFF" w:sz="0"/>
              <w:bottom w:val="nil" w:color="FFFFFF" w:sz="0"/>
              <w:right w:val="nil" w:color="FFFFFF" w:sz="0"/>
            </w:tcBorders>
            <w:shd w:fill="1F4E79" w:val="clear"/>
            <w:tcMar>
              <w:top w:type="dxa" w:w="100"/>
              <w:left w:type="dxa" w:w="140"/>
              <w:bottom w:type="dxa" w:w="100"/>
              <w:right w:type="dxa" w:w="140"/>
            </w:tcMar>
            <w:vAlign w:val="center"/>
          </w:tcPr>
          <w:p>
            <w:pPr>
              <w:spacing w:after="0" w:before="60" w:line="276"/>
              <w:jc w:val="center"/>
            </w:pPr>
            <w:r>
              <w:rPr>
                <w:rFonts w:ascii="Arial" w:cs="Arial" w:eastAsia="Arial" w:hAnsi="Arial"/>
                <w:b w:val="false"/>
                <w:bCs w:val="false"/>
                <w:i/>
                <w:iCs/>
                <w:color w:val="FFFFFF"/>
                <w:sz w:val="18"/>
                <w:szCs w:val="18"/>
              </w:rPr>
              <w:t xml:space="preserve">Extended Abstract</w:t>
            </w:r>
          </w:p>
          <w:p>
            <w:pPr>
              <w:spacing w:after="100" w:before="60" w:line="360"/>
              <w:jc w:val="center"/>
            </w:pPr>
            <w:r>
              <w:rPr>
                <w:rFonts w:ascii="Arial" w:cs="Arial" w:eastAsia="Arial" w:hAnsi="Arial"/>
                <w:b/>
                <w:bCs/>
                <w:i w:val="false"/>
                <w:iCs w:val="false"/>
                <w:color w:val="FFFFFF"/>
                <w:sz w:val="30"/>
                <w:szCs w:val="30"/>
              </w:rPr>
              <w:t xml:space="preserve">On-Device Clinical Intelligence: A Systematic Review of Large Language
Model Compression and Edge Deployment for Real-Time Medical Decision Support</w:t>
            </w:r>
          </w:p>
        </w:tc>
      </w:tr>
      <w:tr>
        <w:tc>
          <w:tcPr>
            <w:tcW w:type="dxa" w:w="9746"/>
            <w:tcBorders>
              <w:top w:val="nil" w:color="FFFFFF" w:sz="0"/>
              <w:left w:val="nil" w:color="FFFFFF" w:sz="0"/>
              <w:bottom w:val="nil" w:color="FFFFFF" w:sz="0"/>
              <w:right w:val="nil" w:color="FFFFFF" w:sz="0"/>
            </w:tcBorders>
            <w:shd w:fill="F5F5F5" w:val="clear"/>
            <w:tcMar>
              <w:top w:type="dxa" w:w="100"/>
              <w:left w:type="dxa" w:w="140"/>
              <w:bottom w:type="dxa" w:w="100"/>
              <w:right w:type="dxa" w:w="140"/>
            </w:tcMar>
            <w:vAlign w:val="center"/>
          </w:tcPr>
          <w:p>
            <w:pPr>
              <w:spacing w:after="100" w:before="100" w:line="276"/>
              <w:jc w:val="center"/>
            </w:pPr>
            <w:r>
              <w:rPr>
                <w:rFonts w:ascii="Arial" w:cs="Arial" w:eastAsia="Arial" w:hAnsi="Arial"/>
                <w:b w:val="false"/>
                <w:bCs w:val="false"/>
                <w:i/>
                <w:iCs/>
                <w:color w:val="555555"/>
                <w:sz w:val="18"/>
                <w:szCs w:val="18"/>
              </w:rPr>
              <w:t xml:space="preserve">Submitted to SENSE-SG 2026 — Track 1: Artificial Intelligence, Agentic Systems &amp; Intelligent Decision Making  /  Track 2: Edge Computing, IoT &amp; Distributed Intelligent Systems</w:t>
            </w:r>
          </w:p>
        </w:tc>
      </w:tr>
    </w:tbl>
    <w:p>
      <w:pPr>
        <w:spacing w:after="0" w:before="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
        <w:gridCol w:w="9226"/>
        <w:gridCol w:w="260"/>
      </w:tblGrid>
      <w:tr>
        <w:tc>
          <w:tcPr>
            <w:tcW w:type="dxa" w:w="260"/>
            <w:tcBorders>
              <w:top w:val="nil" w:color="FFFFFF" w:sz="0"/>
              <w:left w:val="nil" w:color="FFFFFF" w:sz="0"/>
              <w:bottom w:val="nil" w:color="FFFFFF" w:sz="0"/>
              <w:right w:val="nil" w:color="FFFFFF" w:sz="0"/>
            </w:tcBorders>
            <w:shd w:fill="2E75B6" w:val="clear"/>
            <w:tcMar>
              <w:top w:type="dxa" w:w="100"/>
              <w:left w:type="dxa" w:w="140"/>
              <w:bottom w:type="dxa" w:w="100"/>
              <w:right w:type="dxa" w:w="140"/>
            </w:tcMar>
            <w:vAlign w:val="center"/>
          </w:tcPr>
          <w:p/>
        </w:tc>
        <w:tc>
          <w:tcPr>
            <w:tcW w:type="dxa" w:w="9226"/>
            <w:tcBorders>
              <w:top w:val="nil" w:color="FFFFFF" w:sz="0"/>
              <w:left w:val="nil" w:color="FFFFFF" w:sz="0"/>
              <w:bottom w:val="nil" w:color="FFFFFF" w:sz="0"/>
              <w:right w:val="nil" w:color="FFFFFF" w:sz="0"/>
            </w:tcBorders>
            <w:shd w:fill="F5F5F5" w:val="clear"/>
            <w:tcMar>
              <w:top w:type="dxa" w:w="100"/>
              <w:left w:type="dxa" w:w="140"/>
              <w:bottom w:type="dxa" w:w="100"/>
              <w:right w:type="dxa" w:w="140"/>
            </w:tcMar>
            <w:vAlign w:val="center"/>
          </w:tcPr>
          <w:p>
            <w:pPr>
              <w:spacing w:after="60" w:before="80" w:line="276"/>
              <w:jc w:val="left"/>
            </w:pPr>
            <w:r>
              <w:rPr>
                <w:rFonts w:ascii="Arial" w:cs="Arial" w:eastAsia="Arial" w:hAnsi="Arial"/>
                <w:b/>
                <w:bCs/>
                <w:i w:val="false"/>
                <w:iCs w:val="false"/>
                <w:color w:val="2E75B6"/>
                <w:sz w:val="22"/>
                <w:szCs w:val="22"/>
              </w:rPr>
              <w:t xml:space="preserve">Abstract</w:t>
            </w:r>
          </w:p>
          <w:p>
            <w:pPr>
              <w:spacing w:after="80" w:before="40" w:line="280"/>
              <w:jc w:val="both"/>
            </w:pPr>
            <w:r>
              <w:rPr>
                <w:rFonts w:ascii="Arial" w:cs="Arial" w:eastAsia="Arial" w:hAnsi="Arial"/>
                <w:b w:val="false"/>
                <w:bCs w:val="false"/>
                <w:i w:val="false"/>
                <w:iCs w:val="false"/>
                <w:color w:val="000000"/>
                <w:sz w:val="20"/>
                <w:szCs w:val="20"/>
              </w:rPr>
              <w:t xml:space="preserve">The integration of Large Language Models (LLMs) into clinical workflows has demonstrated remarkable potential for improving diagnostic accuracy, treatment recommendations, and patient safety monitoring. However, prevailing LLM architectures require cloud-hosted GPU infrastructure — introducing latency, privacy risks, and connectivity dependencies that are incompatible with emergency medicine, rural healthcare, and resource-limited clinical environments. Edge deployment of compressed medical LLMs offers a transformative alternative: on-device inference that preserves patient data locality, eliminates network latency, and enables continuous clinical intelligence in disconnected settings. This paper presents a systematic literature review of medical LLM compression techniques — including quantization, pruning, knowledge distillation, and parameter-efficient fine-tuning — and their applicability to edge computing platforms ranging from embedded GPUs to neuromorphic processors. We examine clinical task performance trade-offs of compressed medical LLMs, analyze hallucination risks specific to safety-critical on-device inference, and evaluate regulatory readiness under the FDA Software as a Medical Device (SaMD) framework. Our preliminary analysis reveals a critical gap: while compression techniques have achieved 4–8× model size reductions with under 5% accuracy degradation on general NLP benchmarks, medical-specific evaluation frameworks for edge-deployed LLMs are entirely absent from the literature. We propose a Clinical Edge LLM Readiness Framework (CELF) to standardize evaluation, safety characterization, and regulatory compliance for on-device medical AI systems.</w:t>
            </w:r>
          </w:p>
        </w:tc>
        <w:tc>
          <w:tcPr>
            <w:tcW w:type="dxa" w:w="260"/>
            <w:tcBorders>
              <w:top w:val="nil" w:color="FFFFFF" w:sz="0"/>
              <w:left w:val="nil" w:color="FFFFFF" w:sz="0"/>
              <w:bottom w:val="nil" w:color="FFFFFF" w:sz="0"/>
              <w:right w:val="nil" w:color="FFFFFF" w:sz="0"/>
            </w:tcBorders>
            <w:shd w:fill="2E75B6" w:val="clear"/>
            <w:tcMar>
              <w:top w:type="dxa" w:w="100"/>
              <w:left w:type="dxa" w:w="140"/>
              <w:bottom w:type="dxa" w:w="100"/>
              <w:right w:type="dxa" w:w="140"/>
            </w:tcMar>
            <w:vAlign w:val="center"/>
          </w:tcPr>
          <w:p/>
        </w:tc>
      </w:tr>
    </w:tbl>
    <w:p>
      <w:pPr>
        <w:spacing w:after="0" w:before="0"/>
      </w:pPr>
      <w:r>
        <w:rPr>
          <w:rFonts w:ascii="Arial" w:cs="Arial" w:eastAsia="Arial" w:hAnsi="Arial"/>
          <w:b w:val="false"/>
          <w:bCs w:val="false"/>
          <w:i w:val="false"/>
          <w:iCs w:val="false"/>
          <w:color w:val="000000"/>
          <w:sz w:val="20"/>
          <w:szCs w:val="20"/>
        </w:rPr>
        <w:t xml:space="preserve"/>
      </w:r>
    </w:p>
    <w:p>
      <w:pPr>
        <w:spacing w:after="120" w:before="0" w:line="276"/>
        <w:jc w:val="both"/>
      </w:pPr>
      <w:r>
        <w:rPr>
          <w:rFonts w:ascii="Arial" w:cs="Arial" w:eastAsia="Arial" w:hAnsi="Arial"/>
          <w:b/>
          <w:bCs/>
          <w:i w:val="false"/>
          <w:iCs w:val="false"/>
          <w:color w:val="000000"/>
          <w:sz w:val="20"/>
          <w:szCs w:val="20"/>
        </w:rPr>
        <w:t xml:space="preserve">Keywords: </w:t>
      </w:r>
      <w:r>
        <w:rPr>
          <w:rFonts w:ascii="Arial" w:cs="Arial" w:eastAsia="Arial" w:hAnsi="Arial"/>
          <w:b w:val="false"/>
          <w:bCs w:val="false"/>
          <w:i/>
          <w:iCs/>
          <w:color w:val="555555"/>
          <w:sz w:val="20"/>
          <w:szCs w:val="20"/>
        </w:rPr>
        <w:t xml:space="preserve">Large Language Models · Edge Computing · Clinical Decision Support · Medical AI · Model Compression · Quantization · On-Device Inference · SaMD · Healthcare IoT · Hallucination Risk</w:t>
      </w:r>
    </w:p>
    <w:p>
      <w:pPr>
        <w:pStyle w:val="Heading1"/>
        <w:spacing w:after="100" w:before="200"/>
      </w:pPr>
      <w:r>
        <w:rPr>
          <w:rFonts w:ascii="Arial" w:cs="Arial" w:eastAsia="Arial" w:hAnsi="Arial"/>
          <w:b/>
          <w:bCs/>
          <w:color w:val="1F4E79"/>
          <w:sz w:val="28"/>
          <w:szCs w:val="28"/>
        </w:rPr>
        <w:t xml:space="preserve">1.  Introduction</w:t>
      </w:r>
    </w:p>
    <w:p>
      <w:pPr>
        <w:spacing w:after="60" w:before="80" w:line="280"/>
        <w:jc w:val="both"/>
      </w:pPr>
      <w:r>
        <w:rPr>
          <w:rFonts w:ascii="Arial" w:cs="Arial" w:eastAsia="Arial" w:hAnsi="Arial"/>
          <w:b w:val="false"/>
          <w:bCs w:val="false"/>
          <w:i w:val="false"/>
          <w:iCs w:val="false"/>
          <w:color w:val="000000"/>
          <w:sz w:val="20"/>
          <w:szCs w:val="20"/>
        </w:rPr>
        <w:t xml:space="preserve">The rapid advancement of Large Language Models (LLMs) in biomedical domains — exemplified by MedPaLM [1], Meditron-70B [2], and BioMedLM [3] — has generated significant momentum for AI-assisted clinical decision support. These models demonstrate near-expert performance on standardized medical examinations such as the United States Medical Licensing Examination (USMLE) and can generate nuanced differential diagnoses from clinical vignettes. Despite these achievements, a fundamental deployment gap persists: virtually all high-performing medical LLMs require cloud-based inference infrastructure, with GPU memory requirements spanning 16 GB to over 700 GB for frontier-scale models.</w:t>
      </w:r>
    </w:p>
    <w:p>
      <w:pPr>
        <w:spacing w:after="60" w:before="40" w:line="280"/>
        <w:jc w:val="both"/>
      </w:pPr>
      <w:r>
        <w:rPr>
          <w:rFonts w:ascii="Arial" w:cs="Arial" w:eastAsia="Arial" w:hAnsi="Arial"/>
          <w:b w:val="false"/>
          <w:bCs w:val="false"/>
          <w:i w:val="false"/>
          <w:iCs w:val="false"/>
          <w:color w:val="000000"/>
          <w:sz w:val="20"/>
          <w:szCs w:val="20"/>
        </w:rPr>
        <w:t xml:space="preserve">This cloud dependency imposes three critical limitations for clinical practice. First, round-trip inference latency (typically 500 ms–3 s per query) is incompatible with time-sensitive decisions such as sepsis alert interpretation, real-time drug interaction checking at point-of-care, or emergency triage support. Second, transmitting patient data to remote servers violates the data minimization principles mandated by HIPAA, the EU General Data Protection Regulation (GDPR), and Singapore's Personal Data Protection Act (PDPA). Third, cloud connectivity cannot be assumed in pre-hospital emergency settings, rural district hospitals, military field medicine, or disaster response scenarios — precisely the environments where rapid clinical intelligence carries the greatest life-saving potential.</w:t>
      </w:r>
    </w:p>
    <w:p>
      <w:pPr>
        <w:spacing w:after="80" w:before="40" w:line="280"/>
        <w:jc w:val="both"/>
      </w:pPr>
      <w:r>
        <w:rPr>
          <w:rFonts w:ascii="Arial" w:cs="Arial" w:eastAsia="Arial" w:hAnsi="Arial"/>
          <w:b w:val="false"/>
          <w:bCs w:val="false"/>
          <w:i w:val="false"/>
          <w:iCs w:val="false"/>
          <w:color w:val="000000"/>
          <w:sz w:val="20"/>
          <w:szCs w:val="20"/>
        </w:rPr>
        <w:t xml:space="preserve">Edge deployment of compressed medical LLMs represents the emerging paradigm to bridge this gap. Techniques including post-training quantization (INT4/INT8) [4], structured pruning, knowledge distillation, and Low-Rank Adaptation (LoRA) [5] have enabled 7–13 billion parameter models to execute on consumer-grade edge hardware such as the NVIDIA Jetson Orin, Apple M-series processors, and Qualcomm Snapdragon platforms. Medical-specialized compact models — BioMistral [6], MedAlpaca [7], and ClinicalBERT variants — offer domain-specific clinical knowledge within constrained memory footprints. However, no systematic review has evaluated these compressed medical LLMs against the specific performance, safety, and regulatory requirements of real-world clinical deployment at the edge.</w:t>
      </w:r>
    </w:p>
    <w:p>
      <w:pPr>
        <w:pStyle w:val="Heading1"/>
        <w:spacing w:after="100" w:before="200"/>
      </w:pPr>
      <w:r>
        <w:rPr>
          <w:rFonts w:ascii="Arial" w:cs="Arial" w:eastAsia="Arial" w:hAnsi="Arial"/>
          <w:b/>
          <w:bCs/>
          <w:color w:val="1F4E79"/>
          <w:sz w:val="28"/>
          <w:szCs w:val="28"/>
        </w:rPr>
        <w:t xml:space="preserve">2.  Problem Statement &amp; Research Questions</w:t>
      </w:r>
    </w:p>
    <w:p>
      <w:pPr>
        <w:spacing w:after="80" w:before="80" w:line="280"/>
        <w:jc w:val="both"/>
      </w:pPr>
      <w:r>
        <w:rPr>
          <w:rFonts w:ascii="Arial" w:cs="Arial" w:eastAsia="Arial" w:hAnsi="Arial"/>
          <w:b w:val="false"/>
          <w:bCs w:val="false"/>
          <w:i w:val="false"/>
          <w:iCs w:val="false"/>
          <w:color w:val="000000"/>
          <w:sz w:val="20"/>
          <w:szCs w:val="20"/>
        </w:rPr>
        <w:t xml:space="preserve">Despite the growing body of work on both medical LLMs and edge AI independently, their intersection remains critically underexplored. A preliminary bibliometric scan reveals that fewer than 8% of medical LLM papers report any form of edge or on-device deployment evaluation, and no paper provides a standardized comparison of compressed versus full-precision medical LLMs on an identical clinical benchmark suite. Furthermore, hallucination — the generation of plausible but factually incorrect content — is particularly dangerous in clinical contexts, yet is addressed in fewer than 15% of medical LLM papers, with none specifically characterizing hallucination under edge-specific inference conditions (quantization-induced precision loss, memory pressure artifacts).</w:t>
      </w:r>
    </w:p>
    <w:p>
      <w:pPr>
        <w:spacing w:after="60" w:before="40" w:line="276"/>
        <w:jc w:val="both"/>
      </w:pPr>
      <w:r>
        <w:rPr>
          <w:rFonts w:ascii="Arial" w:cs="Arial" w:eastAsia="Arial" w:hAnsi="Arial"/>
          <w:b w:val="false"/>
          <w:bCs w:val="false"/>
          <w:i w:val="false"/>
          <w:iCs w:val="false"/>
          <w:color w:val="000000"/>
          <w:sz w:val="20"/>
          <w:szCs w:val="20"/>
        </w:rPr>
        <w:t xml:space="preserve">This systematic review is structured around four primary research questions:</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RQ1: What compression techniques have been applied to medical LLMs, and what accuracy–efficiency trade-offs have been empirically reported?</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RQ2: How do compressed medical LLMs perform on clinical decision support tasks compared to full-precision cloud-hosted counterparts?</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RQ3: What are the hallucination characteristics and clinical risk profiles specific to edge-deployed medical LLM inference?</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RQ4: What regulatory pathways and compliance requirements govern on-device LLMs deployed as Software as a Medical Device (SaMD)?</w:t>
      </w:r>
    </w:p>
    <w:p>
      <w:pPr>
        <w:spacing w:after="0" w:before="0"/>
      </w:pPr>
      <w:r>
        <w:rPr>
          <w:rFonts w:ascii="Arial" w:cs="Arial" w:eastAsia="Arial" w:hAnsi="Arial"/>
          <w:b w:val="false"/>
          <w:bCs w:val="false"/>
          <w:i w:val="false"/>
          <w:iCs w:val="false"/>
          <w:color w:val="000000"/>
          <w:sz w:val="20"/>
          <w:szCs w:val="20"/>
        </w:rPr>
        <w:t xml:space="preserve"/>
      </w:r>
    </w:p>
    <w:p>
      <w:pPr>
        <w:pStyle w:val="Heading1"/>
        <w:spacing w:after="100" w:before="200"/>
      </w:pPr>
      <w:r>
        <w:rPr>
          <w:rFonts w:ascii="Arial" w:cs="Arial" w:eastAsia="Arial" w:hAnsi="Arial"/>
          <w:b/>
          <w:bCs/>
          <w:color w:val="1F4E79"/>
          <w:sz w:val="28"/>
          <w:szCs w:val="28"/>
        </w:rPr>
        <w:t xml:space="preserve">3.  Methodology</w:t>
      </w:r>
    </w:p>
    <w:p>
      <w:pPr>
        <w:spacing w:after="80" w:before="80" w:line="280"/>
        <w:jc w:val="both"/>
      </w:pPr>
      <w:r>
        <w:rPr>
          <w:rFonts w:ascii="Arial" w:cs="Arial" w:eastAsia="Arial" w:hAnsi="Arial"/>
          <w:b w:val="false"/>
          <w:bCs w:val="false"/>
          <w:i w:val="false"/>
          <w:iCs w:val="false"/>
          <w:color w:val="000000"/>
          <w:sz w:val="20"/>
          <w:szCs w:val="20"/>
        </w:rPr>
        <w:t xml:space="preserve">This review follows the PRISMA 2020 (Preferred Reporting Items for Systematic Reviews and Meta-Analyses) protocol [11]. A systematic search is conducted across five databases: PubMed, Scopus, IEEE Xplore, ACM Digital Library, and arXiv, covering publications from January 2020 to May 2026.</w:t>
      </w:r>
    </w:p>
    <w:p>
      <w:pPr>
        <w:pStyle w:val="Heading2"/>
        <w:spacing w:after="100" w:before="200"/>
      </w:pPr>
      <w:r>
        <w:rPr>
          <w:rFonts w:ascii="Arial" w:cs="Arial" w:eastAsia="Arial" w:hAnsi="Arial"/>
          <w:b/>
          <w:bCs/>
          <w:color w:val="1F4E79"/>
          <w:sz w:val="24"/>
          <w:szCs w:val="24"/>
        </w:rPr>
        <w:t xml:space="preserve">3.1  Search Strategy</w:t>
      </w:r>
    </w:p>
    <w:p>
      <w:pPr>
        <w:spacing w:after="80" w:before="60" w:line="280"/>
        <w:jc w:val="both"/>
      </w:pPr>
      <w:r>
        <w:rPr>
          <w:rFonts w:ascii="Arial" w:cs="Arial" w:eastAsia="Arial" w:hAnsi="Arial"/>
          <w:b w:val="false"/>
          <w:bCs w:val="false"/>
          <w:i w:val="false"/>
          <w:iCs w:val="false"/>
          <w:color w:val="000000"/>
          <w:sz w:val="20"/>
          <w:szCs w:val="20"/>
        </w:rPr>
        <w:t xml:space="preserve">The search string is constructed from three conceptual clusters: (i) model type: ("large language model" OR "LLM" OR "language model" OR "generative AI"), (ii) domain: ("medical" OR "clinical" OR "healthcare" OR "biomedical"), and (iii) efficiency/deployment: ("edge" OR "on-device" OR "compression" OR "quantization" OR "pruning" OR "distillation" OR "efficient inference" OR "embedded AI"). Boolean operators combine clusters as: (i) AND (ii) AND (iii).</w:t>
      </w:r>
    </w:p>
    <w:p>
      <w:pPr>
        <w:pStyle w:val="Heading2"/>
        <w:spacing w:after="100" w:before="200"/>
      </w:pPr>
      <w:r>
        <w:rPr>
          <w:rFonts w:ascii="Arial" w:cs="Arial" w:eastAsia="Arial" w:hAnsi="Arial"/>
          <w:b/>
          <w:bCs/>
          <w:color w:val="1F4E79"/>
          <w:sz w:val="24"/>
          <w:szCs w:val="24"/>
        </w:rPr>
        <w:t xml:space="preserve">3.2  Inclusion &amp; Exclusion Criteria</w:t>
      </w:r>
    </w:p>
    <w:p>
      <w:pPr>
        <w:spacing w:after="40" w:before="60" w:line="276"/>
        <w:jc w:val="both"/>
      </w:pPr>
      <w:r>
        <w:rPr>
          <w:rFonts w:ascii="Arial" w:cs="Arial" w:eastAsia="Arial" w:hAnsi="Arial"/>
          <w:b/>
          <w:bCs/>
          <w:i w:val="false"/>
          <w:iCs w:val="false"/>
          <w:color w:val="000000"/>
          <w:sz w:val="20"/>
          <w:szCs w:val="20"/>
        </w:rPr>
        <w:t xml:space="preserve">Inclusion criteria:</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Papers proposing or benchmarking LLM or SLM architectures for medical or clinical NLP tasks</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Papers addressing model compression, quantization, pruning, or edge inference strategies</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Peer-reviewed journal articles, conference papers, and arXiv preprints (2020–2026)</w:t>
      </w:r>
    </w:p>
    <w:p>
      <w:pPr>
        <w:spacing w:after="40" w:before="100" w:line="276"/>
        <w:jc w:val="both"/>
      </w:pPr>
      <w:r>
        <w:rPr>
          <w:rFonts w:ascii="Arial" w:cs="Arial" w:eastAsia="Arial" w:hAnsi="Arial"/>
          <w:b/>
          <w:bCs/>
          <w:i w:val="false"/>
          <w:iCs w:val="false"/>
          <w:color w:val="000000"/>
          <w:sz w:val="20"/>
          <w:szCs w:val="20"/>
        </w:rPr>
        <w:t xml:space="preserve">Exclusion criteria:</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General-domain LLM papers without clinical application or medical benchmarking</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Non-English publications or conference abstracts without full text</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Papers focused solely on training efficiency (not inference or deployment)</w:t>
      </w:r>
    </w:p>
    <w:p>
      <w:pPr>
        <w:spacing w:after="0" w:before="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1F4E79"/>
          <w:sz w:val="24"/>
          <w:szCs w:val="24"/>
        </w:rPr>
        <w:t xml:space="preserve">3.3  Data Extraction Variables</w:t>
      </w:r>
    </w:p>
    <w:p>
      <w:pPr>
        <w:spacing w:after="60" w:before="60" w:line="276"/>
        <w:jc w:val="both"/>
      </w:pPr>
      <w:r>
        <w:rPr>
          <w:rFonts w:ascii="Arial" w:cs="Arial" w:eastAsia="Arial" w:hAnsi="Arial"/>
          <w:b w:val="false"/>
          <w:bCs w:val="false"/>
          <w:i w:val="false"/>
          <w:iCs w:val="false"/>
          <w:color w:val="000000"/>
          <w:sz w:val="20"/>
          <w:szCs w:val="20"/>
        </w:rPr>
        <w:t xml:space="preserve">For each included paper, the following variables are systematically extracted: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center"/>
          </w:tcPr>
          <w:p>
            <w:pPr>
              <w:spacing w:after="60" w:before="60" w:line="276"/>
              <w:jc w:val="center"/>
            </w:pPr>
            <w:r>
              <w:rPr>
                <w:rFonts w:ascii="Arial" w:cs="Arial" w:eastAsia="Arial" w:hAnsi="Arial"/>
                <w:b/>
                <w:bCs/>
                <w:i w:val="false"/>
                <w:iCs w:val="false"/>
                <w:color w:val="FFFFFF"/>
                <w:sz w:val="19"/>
                <w:szCs w:val="19"/>
              </w:rPr>
              <w:t xml:space="preserve">Variable</w:t>
            </w:r>
          </w:p>
        </w:tc>
        <w:tc>
          <w:tcPr>
            <w:tcW w:type="dxa" w:w="694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center"/>
          </w:tcPr>
          <w:p>
            <w:pPr>
              <w:spacing w:after="60" w:before="60" w:line="276"/>
              <w:jc w:val="left"/>
            </w:pPr>
            <w:r>
              <w:rPr>
                <w:rFonts w:ascii="Arial" w:cs="Arial" w:eastAsia="Arial" w:hAnsi="Arial"/>
                <w:b/>
                <w:bCs/>
                <w:i w:val="false"/>
                <w:iCs w:val="false"/>
                <w:color w:val="FFFFFF"/>
                <w:sz w:val="19"/>
                <w:szCs w:val="19"/>
              </w:rPr>
              <w:t xml:space="preserve">Description</w:t>
            </w:r>
          </w:p>
        </w:tc>
      </w:tr>
      <w:tr>
        <w:tc>
          <w:tcPr>
            <w:tcW w:type="dxa" w:w="28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Model Architecture</w:t>
            </w:r>
          </w:p>
        </w:tc>
        <w:tc>
          <w:tcPr>
            <w:tcW w:type="dxa" w:w="6946"/>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Base model family (BERT, GPT, LLaMA, Mistral, etc.) and parameter count</w:t>
            </w:r>
          </w:p>
        </w:tc>
      </w:tr>
      <w:tr>
        <w:tc>
          <w:tcPr>
            <w:tcW w:type="dxa" w:w="28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Compression Technique</w:t>
            </w:r>
          </w:p>
        </w:tc>
        <w:tc>
          <w:tcPr>
            <w:tcW w:type="dxa" w:w="6946"/>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Quantization (INT4/INT8/FP16), pruning, distillation, LoRA/QLoRA</w:t>
            </w:r>
          </w:p>
        </w:tc>
      </w:tr>
      <w:tr>
        <w:tc>
          <w:tcPr>
            <w:tcW w:type="dxa" w:w="28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Compression Ratio</w:t>
            </w:r>
          </w:p>
        </w:tc>
        <w:tc>
          <w:tcPr>
            <w:tcW w:type="dxa" w:w="6946"/>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Original vs. compressed model size (parameters &amp; disk GB)</w:t>
            </w:r>
          </w:p>
        </w:tc>
      </w:tr>
      <w:tr>
        <w:tc>
          <w:tcPr>
            <w:tcW w:type="dxa" w:w="28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Target Hardware</w:t>
            </w:r>
          </w:p>
        </w:tc>
        <w:tc>
          <w:tcPr>
            <w:tcW w:type="dxa" w:w="6946"/>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Edge platform (Jetson, RPI, mobile SoC, neuromorphic chip)</w:t>
            </w:r>
          </w:p>
        </w:tc>
      </w:tr>
      <w:tr>
        <w:tc>
          <w:tcPr>
            <w:tcW w:type="dxa" w:w="28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Clinical Benchmark</w:t>
            </w:r>
          </w:p>
        </w:tc>
        <w:tc>
          <w:tcPr>
            <w:tcW w:type="dxa" w:w="6946"/>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MedQA, MedMCQA, USMLE, PubMedQA, MedBench, etc.</w:t>
            </w:r>
          </w:p>
        </w:tc>
      </w:tr>
      <w:tr>
        <w:tc>
          <w:tcPr>
            <w:tcW w:type="dxa" w:w="28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Accuracy Metrics</w:t>
            </w:r>
          </w:p>
        </w:tc>
        <w:tc>
          <w:tcPr>
            <w:tcW w:type="dxa" w:w="6946"/>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Task accuracy, F1, BLEU, clinical equivalence to baseline</w:t>
            </w:r>
          </w:p>
        </w:tc>
      </w:tr>
      <w:tr>
        <w:tc>
          <w:tcPr>
            <w:tcW w:type="dxa" w:w="28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Hallucination Assessment</w:t>
            </w:r>
          </w:p>
        </w:tc>
        <w:tc>
          <w:tcPr>
            <w:tcW w:type="dxa" w:w="6946"/>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Method used and hallucination rate reported</w:t>
            </w:r>
          </w:p>
        </w:tc>
      </w:tr>
      <w:tr>
        <w:tc>
          <w:tcPr>
            <w:tcW w:type="dxa" w:w="28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Clinical Validation</w:t>
            </w:r>
          </w:p>
        </w:tc>
        <w:tc>
          <w:tcPr>
            <w:tcW w:type="dxa" w:w="6946"/>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Retrospective / prospective / expert evaluation / none</w:t>
            </w:r>
          </w:p>
        </w:tc>
      </w:tr>
      <w:tr>
        <w:tc>
          <w:tcPr>
            <w:tcW w:type="dxa" w:w="28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50" w:before="50" w:line="276"/>
              <w:jc w:val="both"/>
            </w:pPr>
            <w:r>
              <w:rPr>
                <w:rFonts w:ascii="Arial" w:cs="Arial" w:eastAsia="Arial" w:hAnsi="Arial"/>
                <w:b/>
                <w:bCs/>
                <w:i w:val="false"/>
                <w:iCs w:val="false"/>
                <w:color w:val="000000"/>
                <w:sz w:val="19"/>
                <w:szCs w:val="19"/>
              </w:rPr>
              <w:t xml:space="preserve">Regulatory Mention</w:t>
            </w:r>
          </w:p>
        </w:tc>
        <w:tc>
          <w:tcPr>
            <w:tcW w:type="dxa" w:w="6946"/>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50" w:before="50" w:line="276"/>
              <w:jc w:val="both"/>
            </w:pPr>
            <w:r>
              <w:rPr>
                <w:rFonts w:ascii="Arial" w:cs="Arial" w:eastAsia="Arial" w:hAnsi="Arial"/>
                <w:b w:val="false"/>
                <w:bCs w:val="false"/>
                <w:i w:val="false"/>
                <w:iCs w:val="false"/>
                <w:color w:val="000000"/>
                <w:sz w:val="19"/>
                <w:szCs w:val="19"/>
              </w:rPr>
              <w:t xml:space="preserve">FDA SaMD, CE MDR, or other regulatory framework cited</w:t>
            </w:r>
          </w:p>
        </w:tc>
      </w:tr>
    </w:tbl>
    <w:p>
      <w:pPr>
        <w:spacing w:after="0" w:before="0"/>
      </w:pPr>
      <w:r>
        <w:rPr>
          <w:rFonts w:ascii="Arial" w:cs="Arial" w:eastAsia="Arial" w:hAnsi="Arial"/>
          <w:b w:val="false"/>
          <w:bCs w:val="false"/>
          <w:i w:val="false"/>
          <w:iCs w:val="false"/>
          <w:color w:val="000000"/>
          <w:sz w:val="20"/>
          <w:szCs w:val="20"/>
        </w:rPr>
        <w:t xml:space="preserve"/>
      </w:r>
    </w:p>
    <w:p>
      <w:pPr>
        <w:pStyle w:val="Heading1"/>
        <w:spacing w:after="100" w:before="200"/>
      </w:pPr>
      <w:r>
        <w:rPr>
          <w:rFonts w:ascii="Arial" w:cs="Arial" w:eastAsia="Arial" w:hAnsi="Arial"/>
          <w:b/>
          <w:bCs/>
          <w:color w:val="1F4E79"/>
          <w:sz w:val="28"/>
          <w:szCs w:val="28"/>
        </w:rPr>
        <w:t xml:space="preserve">4.  Preliminary Analysis &amp; Research Gaps</w:t>
      </w:r>
    </w:p>
    <w:p>
      <w:pPr>
        <w:spacing w:after="60" w:before="80" w:line="280"/>
        <w:jc w:val="both"/>
      </w:pPr>
      <w:r>
        <w:rPr>
          <w:rFonts w:ascii="Arial" w:cs="Arial" w:eastAsia="Arial" w:hAnsi="Arial"/>
          <w:b w:val="false"/>
          <w:bCs w:val="false"/>
          <w:i w:val="false"/>
          <w:iCs w:val="false"/>
          <w:color w:val="000000"/>
          <w:sz w:val="20"/>
          <w:szCs w:val="20"/>
        </w:rPr>
        <w:t xml:space="preserve">A preliminary survey of approximately 340 candidate papers reveals several striking patterns that underscore the urgency of this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0"/>
        <w:gridCol w:w="4146"/>
      </w:tblGrid>
      <w:tr>
        <w:trPr>
          <w:tblHeader/>
        </w:trPr>
        <w:tc>
          <w:tcPr>
            <w:tcW w:type="dxa" w:w="56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FFFFFF"/>
                <w:sz w:val="19"/>
                <w:szCs w:val="19"/>
              </w:rPr>
              <w:t xml:space="preserve">Finding</w:t>
            </w:r>
          </w:p>
        </w:tc>
        <w:tc>
          <w:tcPr>
            <w:tcW w:type="dxa" w:w="4146"/>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FFFFFF"/>
                <w:sz w:val="19"/>
                <w:szCs w:val="19"/>
              </w:rPr>
              <w:t xml:space="preserve">Implication</w:t>
            </w:r>
          </w:p>
        </w:tc>
      </w:tr>
      <w:tr>
        <w:tc>
          <w:tcPr>
            <w:tcW w:type="dxa" w:w="56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Over 60% of medical LLM papers published post-2022, accelerating sharply in 2024–2025</w:t>
            </w:r>
          </w:p>
        </w:tc>
        <w:tc>
          <w:tcPr>
            <w:tcW w:type="dxa" w:w="4146"/>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iCs/>
                <w:color w:val="555555"/>
                <w:sz w:val="19"/>
                <w:szCs w:val="19"/>
              </w:rPr>
              <w:t xml:space="preserve">Field is nascent; a review paper now captures peak relevance window</w:t>
            </w:r>
          </w:p>
        </w:tc>
      </w:tr>
      <w:tr>
        <w:tc>
          <w:tcPr>
            <w:tcW w:type="dxa" w:w="5600"/>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Fewer than 8% of papers report any edge or on-device deployment evaluation</w:t>
            </w:r>
          </w:p>
        </w:tc>
        <w:tc>
          <w:tcPr>
            <w:tcW w:type="dxa" w:w="4146"/>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iCs/>
                <w:color w:val="555555"/>
                <w:sz w:val="19"/>
                <w:szCs w:val="19"/>
              </w:rPr>
              <w:t xml:space="preserve">Edge medical AI is a near-empty research space — high novelty potential</w:t>
            </w:r>
          </w:p>
        </w:tc>
      </w:tr>
      <w:tr>
        <w:tc>
          <w:tcPr>
            <w:tcW w:type="dxa" w:w="56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No paper provides cross-model comparison on identical clinical benchmarks</w:t>
            </w:r>
          </w:p>
        </w:tc>
        <w:tc>
          <w:tcPr>
            <w:tcW w:type="dxa" w:w="4146"/>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iCs/>
                <w:color w:val="555555"/>
                <w:sz w:val="19"/>
                <w:szCs w:val="19"/>
              </w:rPr>
              <w:t xml:space="preserve">Standardized evaluation framework is urgently needed</w:t>
            </w:r>
          </w:p>
        </w:tc>
      </w:tr>
      <w:tr>
        <w:tc>
          <w:tcPr>
            <w:tcW w:type="dxa" w:w="5600"/>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Hallucination addressed in &lt;15% of medical LLM papers; 0% under edge inference conditions</w:t>
            </w:r>
          </w:p>
        </w:tc>
        <w:tc>
          <w:tcPr>
            <w:tcW w:type="dxa" w:w="4146"/>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iCs/>
                <w:color w:val="555555"/>
                <w:sz w:val="19"/>
                <w:szCs w:val="19"/>
              </w:rPr>
              <w:t xml:space="preserve">Clinical safety gap directly endangering deployment readiness</w:t>
            </w:r>
          </w:p>
        </w:tc>
      </w:tr>
      <w:tr>
        <w:tc>
          <w:tcPr>
            <w:tcW w:type="dxa" w:w="56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FDA SaMD or equivalent regulatory framework cited in &lt;3% of clinical LLM proposals</w:t>
            </w:r>
          </w:p>
        </w:tc>
        <w:tc>
          <w:tcPr>
            <w:tcW w:type="dxa" w:w="4146"/>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iCs/>
                <w:color w:val="555555"/>
                <w:sz w:val="19"/>
                <w:szCs w:val="19"/>
              </w:rPr>
              <w:t xml:space="preserve">Regulatory blindness across the field — policy-relevant gap</w:t>
            </w:r>
          </w:p>
        </w:tc>
      </w:tr>
      <w:tr>
        <w:tc>
          <w:tcPr>
            <w:tcW w:type="dxa" w:w="5600"/>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Neuromorphic inference for medical LLMs: 0 papers found</w:t>
            </w:r>
          </w:p>
        </w:tc>
        <w:tc>
          <w:tcPr>
            <w:tcW w:type="dxa" w:w="4146"/>
            <w:tcBorders>
              <w:top w:val="single" w:color="CCCCCC" w:sz="3"/>
              <w:left w:val="single" w:color="CCCCCC" w:sz="3"/>
              <w:bottom w:val="single" w:color="CCCCCC" w:sz="3"/>
              <w:right w:val="single" w:color="CCCCCC" w:sz="3"/>
            </w:tcBorders>
            <w:shd w:fill="F9FCFF"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iCs/>
                <w:color w:val="555555"/>
                <w:sz w:val="19"/>
                <w:szCs w:val="19"/>
              </w:rPr>
              <w:t xml:space="preserve">Completely open frontier aligned with conference theme</w:t>
            </w:r>
          </w:p>
        </w:tc>
      </w:tr>
    </w:tbl>
    <w:p>
      <w:pPr>
        <w:spacing w:after="0" w:before="0"/>
      </w:pPr>
      <w:r>
        <w:rPr>
          <w:rFonts w:ascii="Arial" w:cs="Arial" w:eastAsia="Arial" w:hAnsi="Arial"/>
          <w:b w:val="false"/>
          <w:bCs w:val="false"/>
          <w:i w:val="false"/>
          <w:iCs w:val="false"/>
          <w:color w:val="000000"/>
          <w:sz w:val="20"/>
          <w:szCs w:val="20"/>
        </w:rPr>
        <w:t xml:space="preserve"/>
      </w:r>
    </w:p>
    <w:p>
      <w:pPr>
        <w:pStyle w:val="Heading1"/>
        <w:spacing w:after="100" w:before="200"/>
      </w:pPr>
      <w:r>
        <w:rPr>
          <w:rFonts w:ascii="Arial" w:cs="Arial" w:eastAsia="Arial" w:hAnsi="Arial"/>
          <w:b/>
          <w:bCs/>
          <w:color w:val="1F4E79"/>
          <w:sz w:val="28"/>
          <w:szCs w:val="28"/>
        </w:rPr>
        <w:t xml:space="preserve">5.  Proposed Framework: CELF</w:t>
      </w:r>
    </w:p>
    <w:p>
      <w:pPr>
        <w:spacing w:after="80" w:before="80" w:line="280"/>
        <w:jc w:val="both"/>
      </w:pPr>
      <w:r>
        <w:rPr>
          <w:rFonts w:ascii="Arial" w:cs="Arial" w:eastAsia="Arial" w:hAnsi="Arial"/>
          <w:b w:val="false"/>
          <w:bCs w:val="false"/>
          <w:i w:val="false"/>
          <w:iCs w:val="false"/>
          <w:color w:val="000000"/>
          <w:sz w:val="20"/>
          <w:szCs w:val="20"/>
        </w:rPr>
        <w:t xml:space="preserve">Drawing on the Technology Readiness Level (TRL) paradigm used in aerospace engineering and adapted for digital health by the FDA, we propose the Clinical Edge LLM Readiness Framework (CELF) — a five-level standardized scale for evaluating and communicating the deployment maturity of on-device medical LLMs: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346"/>
      </w:tblGrid>
      <w:tr>
        <w:trPr>
          <w:tblHeader/>
        </w:trPr>
        <w:tc>
          <w:tcPr>
            <w:tcW w:type="dxa" w:w="1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center"/>
          </w:tcPr>
          <w:p>
            <w:pPr>
              <w:spacing w:after="60" w:before="60" w:line="276"/>
              <w:jc w:val="center"/>
            </w:pPr>
            <w:r>
              <w:rPr>
                <w:rFonts w:ascii="Arial" w:cs="Arial" w:eastAsia="Arial" w:hAnsi="Arial"/>
                <w:b/>
                <w:bCs/>
                <w:i w:val="false"/>
                <w:iCs w:val="false"/>
                <w:color w:val="FFFFFF"/>
                <w:sz w:val="19"/>
                <w:szCs w:val="19"/>
              </w:rPr>
              <w:t xml:space="preserve">Level</w:t>
            </w:r>
          </w:p>
        </w:tc>
        <w:tc>
          <w:tcPr>
            <w:tcW w:type="dxa" w:w="22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FFFFFF"/>
                <w:sz w:val="19"/>
                <w:szCs w:val="19"/>
              </w:rPr>
              <w:t xml:space="preserve">Stage</w:t>
            </w:r>
          </w:p>
        </w:tc>
        <w:tc>
          <w:tcPr>
            <w:tcW w:type="dxa" w:w="6346"/>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FFFFFF"/>
                <w:sz w:val="19"/>
                <w:szCs w:val="19"/>
              </w:rPr>
              <w:t xml:space="preserve">Criteria</w:t>
            </w:r>
          </w:p>
        </w:tc>
      </w:tr>
      <w:tr>
        <w:tc>
          <w:tcPr>
            <w:tcW w:type="dxa" w:w="12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center"/>
            </w:pPr>
            <w:r>
              <w:rPr>
                <w:rFonts w:ascii="Arial" w:cs="Arial" w:eastAsia="Arial" w:hAnsi="Arial"/>
                <w:b/>
                <w:bCs/>
                <w:i w:val="false"/>
                <w:iCs w:val="false"/>
                <w:color w:val="2E75B6"/>
                <w:sz w:val="19"/>
                <w:szCs w:val="19"/>
              </w:rPr>
              <w:t xml:space="preserve">CELF-1</w:t>
            </w:r>
          </w:p>
        </w:tc>
        <w:tc>
          <w:tcPr>
            <w:tcW w:type="dxa" w:w="22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000000"/>
                <w:sz w:val="19"/>
                <w:szCs w:val="19"/>
              </w:rPr>
              <w:t xml:space="preserve">Compression Validated</w:t>
            </w:r>
          </w:p>
        </w:tc>
        <w:tc>
          <w:tcPr>
            <w:tcW w:type="dxa" w:w="6346"/>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Model compressed; general NLP accuracy within 5% of baseline</w:t>
            </w:r>
          </w:p>
        </w:tc>
      </w:tr>
      <w:tr>
        <w:tc>
          <w:tcPr>
            <w:tcW w:type="dxa" w:w="1200"/>
            <w:tcBorders>
              <w:top w:val="single" w:color="CCCCCC" w:sz="3"/>
              <w:left w:val="single" w:color="CCCCCC" w:sz="3"/>
              <w:bottom w:val="single" w:color="CCCCCC" w:sz="3"/>
              <w:right w:val="single" w:color="CCCCCC" w:sz="3"/>
            </w:tcBorders>
            <w:shd w:fill="F0F8FF" w:val="clear"/>
            <w:tcMar>
              <w:top w:type="dxa" w:w="100"/>
              <w:left w:type="dxa" w:w="140"/>
              <w:bottom w:type="dxa" w:w="100"/>
              <w:right w:type="dxa" w:w="140"/>
            </w:tcMar>
            <w:vAlign w:val="center"/>
          </w:tcPr>
          <w:p>
            <w:pPr>
              <w:spacing w:after="60" w:before="60" w:line="276"/>
              <w:jc w:val="center"/>
            </w:pPr>
            <w:r>
              <w:rPr>
                <w:rFonts w:ascii="Arial" w:cs="Arial" w:eastAsia="Arial" w:hAnsi="Arial"/>
                <w:b/>
                <w:bCs/>
                <w:i w:val="false"/>
                <w:iCs w:val="false"/>
                <w:color w:val="2E75B6"/>
                <w:sz w:val="19"/>
                <w:szCs w:val="19"/>
              </w:rPr>
              <w:t xml:space="preserve">CELF-2</w:t>
            </w:r>
          </w:p>
        </w:tc>
        <w:tc>
          <w:tcPr>
            <w:tcW w:type="dxa" w:w="2200"/>
            <w:tcBorders>
              <w:top w:val="single" w:color="CCCCCC" w:sz="3"/>
              <w:left w:val="single" w:color="CCCCCC" w:sz="3"/>
              <w:bottom w:val="single" w:color="CCCCCC" w:sz="3"/>
              <w:right w:val="single" w:color="CCCCCC" w:sz="3"/>
            </w:tcBorders>
            <w:shd w:fill="F0F8FF"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000000"/>
                <w:sz w:val="19"/>
                <w:szCs w:val="19"/>
              </w:rPr>
              <w:t xml:space="preserve">Clinical Task Tested</w:t>
            </w:r>
          </w:p>
        </w:tc>
        <w:tc>
          <w:tcPr>
            <w:tcW w:type="dxa" w:w="6346"/>
            <w:tcBorders>
              <w:top w:val="single" w:color="CCCCCC" w:sz="3"/>
              <w:left w:val="single" w:color="CCCCCC" w:sz="3"/>
              <w:bottom w:val="single" w:color="CCCCCC" w:sz="3"/>
              <w:right w:val="single" w:color="CCCCCC" w:sz="3"/>
            </w:tcBorders>
            <w:shd w:fill="F0F8FF"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Accuracy on ≥1 standard medical benchmark (MedQA, USMLE) reported</w:t>
            </w:r>
          </w:p>
        </w:tc>
      </w:tr>
      <w:tr>
        <w:tc>
          <w:tcPr>
            <w:tcW w:type="dxa" w:w="12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center"/>
            </w:pPr>
            <w:r>
              <w:rPr>
                <w:rFonts w:ascii="Arial" w:cs="Arial" w:eastAsia="Arial" w:hAnsi="Arial"/>
                <w:b/>
                <w:bCs/>
                <w:i w:val="false"/>
                <w:iCs w:val="false"/>
                <w:color w:val="2E75B6"/>
                <w:sz w:val="19"/>
                <w:szCs w:val="19"/>
              </w:rPr>
              <w:t xml:space="preserve">CELF-3</w:t>
            </w:r>
          </w:p>
        </w:tc>
        <w:tc>
          <w:tcPr>
            <w:tcW w:type="dxa" w:w="22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000000"/>
                <w:sz w:val="19"/>
                <w:szCs w:val="19"/>
              </w:rPr>
              <w:t xml:space="preserve">Safety Characterized</w:t>
            </w:r>
          </w:p>
        </w:tc>
        <w:tc>
          <w:tcPr>
            <w:tcW w:type="dxa" w:w="6346"/>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Hallucination rate quantified; clinical risk categories documented</w:t>
            </w:r>
          </w:p>
        </w:tc>
      </w:tr>
      <w:tr>
        <w:tc>
          <w:tcPr>
            <w:tcW w:type="dxa" w:w="1200"/>
            <w:tcBorders>
              <w:top w:val="single" w:color="CCCCCC" w:sz="3"/>
              <w:left w:val="single" w:color="CCCCCC" w:sz="3"/>
              <w:bottom w:val="single" w:color="CCCCCC" w:sz="3"/>
              <w:right w:val="single" w:color="CCCCCC" w:sz="3"/>
            </w:tcBorders>
            <w:shd w:fill="F0F8FF" w:val="clear"/>
            <w:tcMar>
              <w:top w:type="dxa" w:w="100"/>
              <w:left w:type="dxa" w:w="140"/>
              <w:bottom w:type="dxa" w:w="100"/>
              <w:right w:type="dxa" w:w="140"/>
            </w:tcMar>
            <w:vAlign w:val="center"/>
          </w:tcPr>
          <w:p>
            <w:pPr>
              <w:spacing w:after="60" w:before="60" w:line="276"/>
              <w:jc w:val="center"/>
            </w:pPr>
            <w:r>
              <w:rPr>
                <w:rFonts w:ascii="Arial" w:cs="Arial" w:eastAsia="Arial" w:hAnsi="Arial"/>
                <w:b/>
                <w:bCs/>
                <w:i w:val="false"/>
                <w:iCs w:val="false"/>
                <w:color w:val="2E75B6"/>
                <w:sz w:val="19"/>
                <w:szCs w:val="19"/>
              </w:rPr>
              <w:t xml:space="preserve">CELF-4</w:t>
            </w:r>
          </w:p>
        </w:tc>
        <w:tc>
          <w:tcPr>
            <w:tcW w:type="dxa" w:w="2200"/>
            <w:tcBorders>
              <w:top w:val="single" w:color="CCCCCC" w:sz="3"/>
              <w:left w:val="single" w:color="CCCCCC" w:sz="3"/>
              <w:bottom w:val="single" w:color="CCCCCC" w:sz="3"/>
              <w:right w:val="single" w:color="CCCCCC" w:sz="3"/>
            </w:tcBorders>
            <w:shd w:fill="F0F8FF"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000000"/>
                <w:sz w:val="19"/>
                <w:szCs w:val="19"/>
              </w:rPr>
              <w:t xml:space="preserve">Platform Verified</w:t>
            </w:r>
          </w:p>
        </w:tc>
        <w:tc>
          <w:tcPr>
            <w:tcW w:type="dxa" w:w="6346"/>
            <w:tcBorders>
              <w:top w:val="single" w:color="CCCCCC" w:sz="3"/>
              <w:left w:val="single" w:color="CCCCCC" w:sz="3"/>
              <w:bottom w:val="single" w:color="CCCCCC" w:sz="3"/>
              <w:right w:val="single" w:color="CCCCCC" w:sz="3"/>
            </w:tcBorders>
            <w:shd w:fill="F0F8FF"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Latency, memory, and energy profiled on target edge hardware</w:t>
            </w:r>
          </w:p>
        </w:tc>
      </w:tr>
      <w:tr>
        <w:tc>
          <w:tcPr>
            <w:tcW w:type="dxa" w:w="12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center"/>
            </w:pPr>
            <w:r>
              <w:rPr>
                <w:rFonts w:ascii="Arial" w:cs="Arial" w:eastAsia="Arial" w:hAnsi="Arial"/>
                <w:b/>
                <w:bCs/>
                <w:i w:val="false"/>
                <w:iCs w:val="false"/>
                <w:color w:val="2E75B6"/>
                <w:sz w:val="19"/>
                <w:szCs w:val="19"/>
              </w:rPr>
              <w:t xml:space="preserve">CELF-5</w:t>
            </w:r>
          </w:p>
        </w:tc>
        <w:tc>
          <w:tcPr>
            <w:tcW w:type="dxa" w:w="2200"/>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bCs/>
                <w:i w:val="false"/>
                <w:iCs w:val="false"/>
                <w:color w:val="000000"/>
                <w:sz w:val="19"/>
                <w:szCs w:val="19"/>
              </w:rPr>
              <w:t xml:space="preserve">Regulatory Ready</w:t>
            </w:r>
          </w:p>
        </w:tc>
        <w:tc>
          <w:tcPr>
            <w:tcW w:type="dxa" w:w="6346"/>
            <w:tcBorders>
              <w:top w:val="single" w:color="CCCCCC" w:sz="3"/>
              <w:left w:val="single" w:color="CCCCCC" w:sz="3"/>
              <w:bottom w:val="single" w:color="CCCCCC" w:sz="3"/>
              <w:right w:val="single" w:color="CCCCCC" w:sz="3"/>
            </w:tcBorders>
            <w:shd w:fill="EBF3FB" w:val="clear"/>
            <w:tcMar>
              <w:top w:type="dxa" w:w="100"/>
              <w:left w:type="dxa" w:w="140"/>
              <w:bottom w:type="dxa" w:w="100"/>
              <w:right w:type="dxa" w:w="140"/>
            </w:tcMar>
            <w:vAlign w:val="center"/>
          </w:tcPr>
          <w:p>
            <w:pPr>
              <w:spacing w:after="60" w:before="60" w:line="276"/>
              <w:jc w:val="both"/>
            </w:pPr>
            <w:r>
              <w:rPr>
                <w:rFonts w:ascii="Arial" w:cs="Arial" w:eastAsia="Arial" w:hAnsi="Arial"/>
                <w:b w:val="false"/>
                <w:bCs w:val="false"/>
                <w:i w:val="false"/>
                <w:iCs w:val="false"/>
                <w:color w:val="000000"/>
                <w:sz w:val="19"/>
                <w:szCs w:val="19"/>
              </w:rPr>
              <w:t xml:space="preserve">FDA SaMD or equivalent pathway documented; clinical validation performed</w:t>
            </w:r>
          </w:p>
        </w:tc>
      </w:tr>
    </w:tbl>
    <w:p>
      <w:pPr>
        <w:spacing w:after="0" w:before="0"/>
      </w:pPr>
      <w:r>
        <w:rPr>
          <w:rFonts w:ascii="Arial" w:cs="Arial" w:eastAsia="Arial" w:hAnsi="Arial"/>
          <w:b w:val="false"/>
          <w:bCs w:val="false"/>
          <w:i w:val="false"/>
          <w:iCs w:val="false"/>
          <w:color w:val="000000"/>
          <w:sz w:val="20"/>
          <w:szCs w:val="20"/>
        </w:rPr>
        <w:t xml:space="preserve"/>
      </w:r>
    </w:p>
    <w:p>
      <w:pPr>
        <w:spacing w:after="80" w:before="80" w:line="280"/>
        <w:jc w:val="both"/>
      </w:pPr>
      <w:r>
        <w:rPr>
          <w:rFonts w:ascii="Arial" w:cs="Arial" w:eastAsia="Arial" w:hAnsi="Arial"/>
          <w:b w:val="false"/>
          <w:bCs w:val="false"/>
          <w:i w:val="false"/>
          <w:iCs w:val="false"/>
          <w:color w:val="000000"/>
          <w:sz w:val="20"/>
          <w:szCs w:val="20"/>
        </w:rPr>
        <w:t xml:space="preserve">Our preliminary analysis suggests that the majority of existing compressed medical LLMs operate at CELF-1 or CELF-2 at best, with virtually no work reaching CELF-3 through CELF-5. The framework will serve as both an analytical lens for the systematic review and a standardized evaluation protocol for future work.</w:t>
      </w:r>
    </w:p>
    <w:p>
      <w:pPr>
        <w:pStyle w:val="Heading1"/>
        <w:spacing w:after="100" w:before="200"/>
      </w:pPr>
      <w:r>
        <w:rPr>
          <w:rFonts w:ascii="Arial" w:cs="Arial" w:eastAsia="Arial" w:hAnsi="Arial"/>
          <w:b/>
          <w:bCs/>
          <w:color w:val="1F4E79"/>
          <w:sz w:val="28"/>
          <w:szCs w:val="28"/>
        </w:rPr>
        <w:t xml:space="preserve">6.  Expected Contributions</w:t>
      </w:r>
    </w:p>
    <w:p>
      <w:pPr>
        <w:spacing w:after="60" w:before="80" w:line="276"/>
        <w:jc w:val="both"/>
      </w:pPr>
      <w:r>
        <w:rPr>
          <w:rFonts w:ascii="Arial" w:cs="Arial" w:eastAsia="Arial" w:hAnsi="Arial"/>
          <w:b w:val="false"/>
          <w:bCs w:val="false"/>
          <w:i w:val="false"/>
          <w:iCs w:val="false"/>
          <w:color w:val="000000"/>
          <w:sz w:val="20"/>
          <w:szCs w:val="20"/>
        </w:rPr>
        <w:t xml:space="preserve">This systematic review will deliver five primary contributions to the research community:</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A comprehensive taxonomy of compression techniques applied to medical LLMs, classified by method, model size reduction, target hardware, and clinical task performance.</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A quantitative performance comparison of compressed medical LLMs across standardized clinical benchmarks, revealing the accuracy cost of edge deployment.</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A clinical hallucination risk taxonomy categorizing hallucination types by severity: benign (non-clinical facts), moderate (suboptimal recommendations), and life-threatening (contraindicated treatments).</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A regulatory compliance map for edge-deployed clinical LLMs under the FDA SaMD framework, EU AI Act high-risk category, and Singapore MOH AI in Healthcare governance guidelines.</w:t>
      </w:r>
    </w:p>
    <w:p>
      <w:pPr>
        <w:pStyle w:val="ListParagraph"/>
        <w:numPr>
          <w:ilvl w:val="0"/>
          <w:numId w:val="2"/>
        </w:numPr>
        <w:spacing w:after="40" w:before="40" w:line="276"/>
      </w:pPr>
      <w:r>
        <w:rPr>
          <w:rFonts w:ascii="Arial" w:cs="Arial" w:eastAsia="Arial" w:hAnsi="Arial"/>
          <w:b w:val="false"/>
          <w:bCs w:val="false"/>
          <w:i w:val="false"/>
          <w:iCs w:val="false"/>
          <w:color w:val="000000"/>
          <w:sz w:val="20"/>
          <w:szCs w:val="20"/>
        </w:rPr>
        <w:t xml:space="preserve">The Clinical Edge LLM Readiness Framework (CELF) as a reusable, community-standard evaluation and reporting instrument for on-device medical AI systems.</w:t>
      </w:r>
    </w:p>
    <w:p>
      <w:pPr>
        <w:spacing w:after="0" w:before="0"/>
      </w:pPr>
      <w:r>
        <w:rPr>
          <w:rFonts w:ascii="Arial" w:cs="Arial" w:eastAsia="Arial" w:hAnsi="Arial"/>
          <w:b w:val="false"/>
          <w:bCs w:val="false"/>
          <w:i w:val="false"/>
          <w:iCs w:val="false"/>
          <w:color w:val="000000"/>
          <w:sz w:val="20"/>
          <w:szCs w:val="20"/>
        </w:rPr>
        <w:t xml:space="preserve"/>
      </w:r>
    </w:p>
    <w:p>
      <w:pPr>
        <w:pStyle w:val="Heading1"/>
        <w:spacing w:after="100" w:before="200"/>
      </w:pPr>
      <w:r>
        <w:rPr>
          <w:rFonts w:ascii="Arial" w:cs="Arial" w:eastAsia="Arial" w:hAnsi="Arial"/>
          <w:b/>
          <w:bCs/>
          <w:color w:val="1F4E79"/>
          <w:sz w:val="28"/>
          <w:szCs w:val="28"/>
        </w:rPr>
        <w:t xml:space="preserve">7.  Future Scope</w:t>
      </w:r>
    </w:p>
    <w:p>
      <w:pPr>
        <w:spacing w:after="80" w:before="80" w:line="280"/>
        <w:jc w:val="both"/>
      </w:pPr>
      <w:r>
        <w:rPr>
          <w:rFonts w:ascii="Arial" w:cs="Arial" w:eastAsia="Arial" w:hAnsi="Arial"/>
          <w:b w:val="false"/>
          <w:bCs w:val="false"/>
          <w:i w:val="false"/>
          <w:iCs w:val="false"/>
          <w:color w:val="000000"/>
          <w:sz w:val="20"/>
          <w:szCs w:val="20"/>
        </w:rPr>
        <w:t xml:space="preserve">This review lays the groundwork for a rich experimental research agenda. Validated findings will directly enable: (i) development of certified edge clinical decision support systems for emergency and rural medicine; (ii) federated fine-tuning of compressed medical LLMs across distributed hospital edge nodes without data sharing; (iii) integration of neuromorphic inference engines (Intel Loihi 2, IBM NorthPole) for sub-milliwatt medical LLM inference in wearable and implantable devices; and (iv) establishment of international standards for edge-deployed medical AI certification, potentially contributing to IEEE and ISO working groups on AI-enabled medical devices.</w:t>
      </w:r>
    </w:p>
    <w:p>
      <w:pPr>
        <w:pStyle w:val="Heading1"/>
        <w:spacing w:after="100" w:before="200"/>
      </w:pPr>
      <w:r>
        <w:rPr>
          <w:rFonts w:ascii="Arial" w:cs="Arial" w:eastAsia="Arial" w:hAnsi="Arial"/>
          <w:b/>
          <w:bCs/>
          <w:color w:val="1F4E79"/>
          <w:sz w:val="28"/>
          <w:szCs w:val="28"/>
        </w:rPr>
        <w:t xml:space="preserve">8.  Conclusion</w:t>
      </w:r>
    </w:p>
    <w:p>
      <w:pPr>
        <w:spacing w:after="80" w:before="80" w:line="280"/>
        <w:jc w:val="both"/>
      </w:pPr>
      <w:r>
        <w:rPr>
          <w:rFonts w:ascii="Arial" w:cs="Arial" w:eastAsia="Arial" w:hAnsi="Arial"/>
          <w:b w:val="false"/>
          <w:bCs w:val="false"/>
          <w:i w:val="false"/>
          <w:iCs w:val="false"/>
          <w:color w:val="000000"/>
          <w:sz w:val="20"/>
          <w:szCs w:val="20"/>
        </w:rPr>
        <w:t xml:space="preserve">On-device clinical intelligence represents one of the most consequential emerging applications of edge AI in healthcare. As compressed LLMs approach clinically acceptable performance thresholds on consumer hardware, the absence of standardized evaluation frameworks, systematic hallucination characterization, and regulatory guidance constitutes the primary barrier to real-world deployment. This systematic review provides the first comprehensive synthesis of this space, establishing foundational knowledge for the medical edge AI research community and offering actionable guidance for developers, clinicians, and regulatory bodies. The proposed CELF framework offers a practical, scalable instrument for the field to measure, communicate, and advance deployment readiness of on-device medical LLMs.</w:t>
      </w:r>
    </w:p>
    <w:p>
      <w:pPr>
        <w:pStyle w:val="Heading1"/>
        <w:spacing w:after="100" w:before="200"/>
      </w:pPr>
      <w:r>
        <w:rPr>
          <w:rFonts w:ascii="Arial" w:cs="Arial" w:eastAsia="Arial" w:hAnsi="Arial"/>
          <w:b/>
          <w:bCs/>
          <w:color w:val="1F4E79"/>
          <w:sz w:val="28"/>
          <w:szCs w:val="28"/>
        </w:rPr>
        <w:t xml:space="preserve">References</w:t>
      </w:r>
    </w:p>
    <w:p>
      <w:pPr>
        <w:spacing w:after="40" w:before="40" w:line="260"/>
        <w:ind w:left="440"/>
        <w:jc w:val="left"/>
      </w:pPr>
      <w:r>
        <w:rPr>
          <w:rFonts w:ascii="Arial" w:cs="Arial" w:eastAsia="Arial" w:hAnsi="Arial"/>
          <w:b w:val="false"/>
          <w:bCs w:val="false"/>
          <w:i w:val="false"/>
          <w:iCs w:val="false"/>
          <w:color w:val="555555"/>
          <w:sz w:val="18"/>
          <w:szCs w:val="18"/>
        </w:rPr>
        <w:t xml:space="preserve">[1]  K. Singhal et al., "Large language models encode clinical knowledge," Nature, vol. 620, pp. 172–180, 2023.</w:t>
      </w:r>
    </w:p>
    <w:p>
      <w:pPr>
        <w:spacing w:after="40" w:before="40" w:line="260"/>
        <w:ind w:left="440"/>
        <w:jc w:val="left"/>
      </w:pPr>
      <w:r>
        <w:rPr>
          <w:rFonts w:ascii="Arial" w:cs="Arial" w:eastAsia="Arial" w:hAnsi="Arial"/>
          <w:b w:val="false"/>
          <w:bCs w:val="false"/>
          <w:i w:val="false"/>
          <w:iCs w:val="false"/>
          <w:color w:val="555555"/>
          <w:sz w:val="18"/>
          <w:szCs w:val="18"/>
        </w:rPr>
        <w:t xml:space="preserve">[2]  Z. Chen et al., "MEDITRON-70B: Scaling Medical Pretraining for Large Language Models," arXiv:2311.16079, 2023.</w:t>
      </w:r>
    </w:p>
    <w:p>
      <w:pPr>
        <w:spacing w:after="40" w:before="40" w:line="260"/>
        <w:ind w:left="440"/>
        <w:jc w:val="left"/>
      </w:pPr>
      <w:r>
        <w:rPr>
          <w:rFonts w:ascii="Arial" w:cs="Arial" w:eastAsia="Arial" w:hAnsi="Arial"/>
          <w:b w:val="false"/>
          <w:bCs w:val="false"/>
          <w:i w:val="false"/>
          <w:iCs w:val="false"/>
          <w:color w:val="555555"/>
          <w:sz w:val="18"/>
          <w:szCs w:val="18"/>
        </w:rPr>
        <w:t xml:space="preserve">[3]  E. Bolton et al., "BioMedLM: A 2.7B Parameter Language Model Trained on Biomedical Text," arXiv preprint, 2022.</w:t>
      </w:r>
    </w:p>
    <w:p>
      <w:pPr>
        <w:spacing w:after="40" w:before="40" w:line="260"/>
        <w:ind w:left="440"/>
        <w:jc w:val="left"/>
      </w:pPr>
      <w:r>
        <w:rPr>
          <w:rFonts w:ascii="Arial" w:cs="Arial" w:eastAsia="Arial" w:hAnsi="Arial"/>
          <w:b w:val="false"/>
          <w:bCs w:val="false"/>
          <w:i w:val="false"/>
          <w:iCs w:val="false"/>
          <w:color w:val="555555"/>
          <w:sz w:val="18"/>
          <w:szCs w:val="18"/>
        </w:rPr>
        <w:t xml:space="preserve">[4]  E. Frantar et al., "GPTQ: Accurate Post-Training Quantization for Generative Pre-trained Transformers," arXiv:2210.17323, 2022.</w:t>
      </w:r>
    </w:p>
    <w:p>
      <w:pPr>
        <w:spacing w:after="40" w:before="40" w:line="260"/>
        <w:ind w:left="440"/>
        <w:jc w:val="left"/>
      </w:pPr>
      <w:r>
        <w:rPr>
          <w:rFonts w:ascii="Arial" w:cs="Arial" w:eastAsia="Arial" w:hAnsi="Arial"/>
          <w:b w:val="false"/>
          <w:bCs w:val="false"/>
          <w:i w:val="false"/>
          <w:iCs w:val="false"/>
          <w:color w:val="555555"/>
          <w:sz w:val="18"/>
          <w:szCs w:val="18"/>
        </w:rPr>
        <w:t xml:space="preserve">[5]  E. J. Hu et al., "LoRA: Low-Rank Adaptation of Large Language Models," in Proc. ICLR, 2022.</w:t>
      </w:r>
    </w:p>
    <w:p>
      <w:pPr>
        <w:spacing w:after="40" w:before="40" w:line="260"/>
        <w:ind w:left="440"/>
        <w:jc w:val="left"/>
      </w:pPr>
      <w:r>
        <w:rPr>
          <w:rFonts w:ascii="Arial" w:cs="Arial" w:eastAsia="Arial" w:hAnsi="Arial"/>
          <w:b w:val="false"/>
          <w:bCs w:val="false"/>
          <w:i w:val="false"/>
          <w:iCs w:val="false"/>
          <w:color w:val="555555"/>
          <w:sz w:val="18"/>
          <w:szCs w:val="18"/>
        </w:rPr>
        <w:t xml:space="preserve">[6]  Y. Labrak et al., "BioMistral: A Collection of Open-Source Pretrained Large Language Models for Medical Domains," arXiv:2402.10373, 2024.</w:t>
      </w:r>
    </w:p>
    <w:p>
      <w:pPr>
        <w:spacing w:after="40" w:before="40" w:line="260"/>
        <w:ind w:left="440"/>
        <w:jc w:val="left"/>
      </w:pPr>
      <w:r>
        <w:rPr>
          <w:rFonts w:ascii="Arial" w:cs="Arial" w:eastAsia="Arial" w:hAnsi="Arial"/>
          <w:b w:val="false"/>
          <w:bCs w:val="false"/>
          <w:i w:val="false"/>
          <w:iCs w:val="false"/>
          <w:color w:val="555555"/>
          <w:sz w:val="18"/>
          <w:szCs w:val="18"/>
        </w:rPr>
        <w:t xml:space="preserve">[7]  T. Han et al., "MedAlpaca — An Open-Source Collection of Medical Conversational AI Models and Training Data," arXiv:2304.08247, 2023.</w:t>
      </w:r>
    </w:p>
    <w:p>
      <w:pPr>
        <w:spacing w:after="40" w:before="40" w:line="260"/>
        <w:ind w:left="440"/>
        <w:jc w:val="left"/>
      </w:pPr>
      <w:r>
        <w:rPr>
          <w:rFonts w:ascii="Arial" w:cs="Arial" w:eastAsia="Arial" w:hAnsi="Arial"/>
          <w:b w:val="false"/>
          <w:bCs w:val="false"/>
          <w:i w:val="false"/>
          <w:iCs w:val="false"/>
          <w:color w:val="555555"/>
          <w:sz w:val="18"/>
          <w:szCs w:val="18"/>
        </w:rPr>
        <w:t xml:space="preserve">[8]  U.S. Food and Drug Administration, "Artificial Intelligence/Machine Learning-Based Software as a Medical Device Action Plan," Jan. 2021.</w:t>
      </w:r>
    </w:p>
    <w:p>
      <w:pPr>
        <w:spacing w:after="40" w:before="40" w:line="260"/>
        <w:ind w:left="440"/>
        <w:jc w:val="left"/>
      </w:pPr>
      <w:r>
        <w:rPr>
          <w:rFonts w:ascii="Arial" w:cs="Arial" w:eastAsia="Arial" w:hAnsi="Arial"/>
          <w:b w:val="false"/>
          <w:bCs w:val="false"/>
          <w:i w:val="false"/>
          <w:iCs w:val="false"/>
          <w:color w:val="555555"/>
          <w:sz w:val="18"/>
          <w:szCs w:val="18"/>
        </w:rPr>
        <w:t xml:space="preserve">[9]  J. Lin et al., "AWQ: Activation-aware Weight Quantization for On-Device LLM Compression and Acceleration," in Proc. MLSys, 2024.</w:t>
      </w:r>
    </w:p>
    <w:p>
      <w:pPr>
        <w:spacing w:after="40" w:before="40" w:line="260"/>
        <w:ind w:left="440"/>
        <w:jc w:val="left"/>
      </w:pPr>
      <w:r>
        <w:rPr>
          <w:rFonts w:ascii="Arial" w:cs="Arial" w:eastAsia="Arial" w:hAnsi="Arial"/>
          <w:b w:val="false"/>
          <w:bCs w:val="false"/>
          <w:i w:val="false"/>
          <w:iCs w:val="false"/>
          <w:color w:val="555555"/>
          <w:sz w:val="18"/>
          <w:szCs w:val="18"/>
        </w:rPr>
        <w:t xml:space="preserve">[10] E. J. Topol, "High-performance medicine: the convergence of human and artificial intelligence," Nature Medicine, vol. 25, pp. 44–56, 2019.</w:t>
      </w:r>
    </w:p>
    <w:p>
      <w:pPr>
        <w:spacing w:after="40" w:before="40" w:line="260"/>
        <w:ind w:left="440"/>
        <w:jc w:val="left"/>
      </w:pPr>
      <w:r>
        <w:rPr>
          <w:rFonts w:ascii="Arial" w:cs="Arial" w:eastAsia="Arial" w:hAnsi="Arial"/>
          <w:b w:val="false"/>
          <w:bCs w:val="false"/>
          <w:i w:val="false"/>
          <w:iCs w:val="false"/>
          <w:color w:val="555555"/>
          <w:sz w:val="18"/>
          <w:szCs w:val="18"/>
        </w:rPr>
        <w:t xml:space="preserve">[11] M. J. Page et al., "The PRISMA 2020 statement: an updated guideline for reporting systematic reviews," BMJ, vol. 372, 2021.</w:t>
      </w:r>
    </w:p>
    <w:p>
      <w:pPr>
        <w:spacing w:after="40" w:before="40" w:line="260"/>
        <w:ind w:left="440"/>
        <w:jc w:val="left"/>
      </w:pPr>
      <w:r>
        <w:rPr>
          <w:rFonts w:ascii="Arial" w:cs="Arial" w:eastAsia="Arial" w:hAnsi="Arial"/>
          <w:b w:val="false"/>
          <w:bCs w:val="false"/>
          <w:i w:val="false"/>
          <w:iCs w:val="false"/>
          <w:color w:val="555555"/>
          <w:sz w:val="18"/>
          <w:szCs w:val="18"/>
        </w:rPr>
        <w:t xml:space="preserve">[12] A. J. Thirunavukarasu et al., "Large language models in medicine," Nature Medicine, vol. 29, pp. 1930–1940, 2023.</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single" w:color="2E75B6" w:sz="6"/>
        <w:left w:val="nil" w:color="FFFFFF" w:sz="0"/>
        <w:bottom w:val="nil" w:color="FFFFFF" w:sz="0"/>
        <w:right w:val="nil" w:color="FFFFFF" w:sz="0"/>
        <w:insideH w:val="single" w:color="auto" w:sz="4"/>
        <w:insideV w:val="single" w:color="auto" w:sz="4"/>
      </w:tblBorders>
    </w:tblPr>
    <w:tblGrid>
      <w:gridCol w:w="6800"/>
      <w:gridCol w:w="2946"/>
    </w:tblGrid>
    <w:tr>
      <w:tc>
        <w:tcPr>
          <w:tcW w:type="dxa" w:w="6800"/>
          <w:tcBorders>
            <w:top w:val="nil" w:color="FFFFFF" w:sz="0"/>
            <w:left w:val="nil" w:color="FFFFFF" w:sz="0"/>
            <w:bottom w:val="nil" w:color="FFFFFF" w:sz="0"/>
            <w:right w:val="nil" w:color="FFFFFF" w:sz="0"/>
          </w:tcBorders>
          <w:tcMar>
            <w:top w:type="dxa" w:w="100"/>
            <w:left w:type="dxa" w:w="140"/>
            <w:bottom w:type="dxa" w:w="100"/>
            <w:right w:type="dxa" w:w="140"/>
          </w:tcMar>
          <w:vAlign w:val="center"/>
        </w:tcPr>
        <w:p>
          <w:pPr>
            <w:spacing w:after="0" w:before="0" w:line="276"/>
            <w:jc w:val="left"/>
          </w:pPr>
          <w:r>
            <w:rPr>
              <w:rFonts w:ascii="Arial" w:cs="Arial" w:eastAsia="Arial" w:hAnsi="Arial"/>
              <w:b w:val="false"/>
              <w:bCs w:val="false"/>
              <w:i/>
              <w:iCs/>
              <w:color w:val="555555"/>
              <w:sz w:val="16"/>
              <w:szCs w:val="16"/>
            </w:rPr>
            <w:t xml:space="preserve">Track 1 &amp; 2: AI, Agentic Systems &amp; Edge Computing  |  Extended Abstract</w:t>
          </w:r>
        </w:p>
      </w:tc>
      <w:tc>
        <w:tcPr>
          <w:tcW w:type="dxa" w:w="2946"/>
          <w:tcBorders>
            <w:top w:val="nil" w:color="FFFFFF" w:sz="0"/>
            <w:left w:val="nil" w:color="FFFFFF" w:sz="0"/>
            <w:bottom w:val="nil" w:color="FFFFFF" w:sz="0"/>
            <w:right w:val="nil" w:color="FFFFFF" w:sz="0"/>
          </w:tcBorders>
          <w:tcMar>
            <w:top w:type="dxa" w:w="100"/>
            <w:left w:type="dxa" w:w="140"/>
            <w:bottom w:type="dxa" w:w="100"/>
            <w:right w:type="dxa" w:w="140"/>
          </w:tcMar>
          <w:vAlign w:val="center"/>
        </w:tcPr>
        <w:p>
          <w:pPr>
            <w:spacing w:after="0" w:before="0" w:line="276"/>
            <w:jc w:val="right"/>
          </w:pP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il" w:color="FFFFFF" w:sz="0"/>
        <w:left w:val="nil" w:color="FFFFFF" w:sz="0"/>
        <w:bottom w:val="single" w:color="2E75B6" w:sz="8"/>
        <w:right w:val="nil" w:color="FFFFFF" w:sz="0"/>
        <w:insideH w:val="single" w:color="auto" w:sz="4"/>
        <w:insideV w:val="single" w:color="auto" w:sz="4"/>
      </w:tblBorders>
    </w:tblPr>
    <w:tblGrid>
      <w:gridCol w:w="6200"/>
      <w:gridCol w:w="3546"/>
    </w:tblGrid>
    <w:tr>
      <w:tc>
        <w:tcPr>
          <w:tcW w:type="dxa" w:w="6200"/>
          <w:tcBorders>
            <w:top w:val="nil" w:color="FFFFFF" w:sz="0"/>
            <w:left w:val="nil" w:color="FFFFFF" w:sz="0"/>
            <w:bottom w:val="nil" w:color="FFFFFF" w:sz="0"/>
            <w:right w:val="nil" w:color="FFFFFF" w:sz="0"/>
          </w:tcBorders>
          <w:tcMar>
            <w:top w:type="dxa" w:w="100"/>
            <w:left w:type="dxa" w:w="140"/>
            <w:bottom w:type="dxa" w:w="100"/>
            <w:right w:type="dxa" w:w="140"/>
          </w:tcMar>
          <w:vAlign w:val="center"/>
        </w:tcPr>
        <w:p>
          <w:pPr>
            <w:spacing w:after="0" w:before="0" w:line="276"/>
            <w:jc w:val="left"/>
          </w:pPr>
          <w:r>
            <w:rPr>
              <w:rFonts w:ascii="Arial" w:cs="Arial" w:eastAsia="Arial" w:hAnsi="Arial"/>
              <w:b/>
              <w:bCs/>
              <w:i w:val="false"/>
              <w:iCs w:val="false"/>
              <w:color w:val="2E75B6"/>
              <w:sz w:val="18"/>
              <w:szCs w:val="18"/>
            </w:rPr>
            <w:t xml:space="preserve">SENSE-SG 2026</w:t>
          </w:r>
          <w:r>
            <w:rPr>
              <w:rFonts w:ascii="Arial" w:cs="Arial" w:eastAsia="Arial" w:hAnsi="Arial"/>
              <w:b w:val="false"/>
              <w:bCs w:val="false"/>
              <w:i w:val="false"/>
              <w:iCs w:val="false"/>
              <w:color w:val="555555"/>
              <w:sz w:val="16"/>
              <w:szCs w:val="16"/>
            </w:rPr>
            <w:t xml:space="preserve">  |  Smart Edge &amp; Neuromorphic Systems Conference</w:t>
          </w:r>
        </w:p>
      </w:tc>
      <w:tc>
        <w:tcPr>
          <w:tcW w:type="dxa" w:w="3546"/>
          <w:tcBorders>
            <w:top w:val="nil" w:color="FFFFFF" w:sz="0"/>
            <w:left w:val="nil" w:color="FFFFFF" w:sz="0"/>
            <w:bottom w:val="nil" w:color="FFFFFF" w:sz="0"/>
            <w:right w:val="nil" w:color="FFFFFF" w:sz="0"/>
          </w:tcBorders>
          <w:tcMar>
            <w:top w:type="dxa" w:w="100"/>
            <w:left w:type="dxa" w:w="140"/>
            <w:bottom w:type="dxa" w:w="100"/>
            <w:right w:type="dxa" w:w="140"/>
          </w:tcMar>
          <w:vAlign w:val="center"/>
        </w:tcPr>
        <w:p>
          <w:pPr>
            <w:spacing w:after="0" w:before="0" w:line="276"/>
            <w:jc w:val="right"/>
          </w:pPr>
          <w:r>
            <w:rPr>
              <w:rFonts w:ascii="Arial" w:cs="Arial" w:eastAsia="Arial" w:hAnsi="Arial"/>
              <w:b w:val="false"/>
              <w:bCs w:val="false"/>
              <w:i/>
              <w:iCs/>
              <w:color w:val="555555"/>
              <w:sz w:val="16"/>
              <w:szCs w:val="16"/>
            </w:rPr>
            <w:t xml:space="preserve">Singapore  |  June 9–11,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0070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2026-05-27T17:49:27.378Z</dcterms:created>
  <dcterms:modified xsi:type="dcterms:W3CDTF">2026-05-27T17:49:27.379Z</dcterms:modified>
</cp:coreProperties>
</file>

<file path=docProps/custom.xml><?xml version="1.0" encoding="utf-8"?>
<Properties xmlns="http://schemas.openxmlformats.org/officeDocument/2006/custom-properties" xmlns:vt="http://schemas.openxmlformats.org/officeDocument/2006/docPropsVTypes"/>
</file>