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CC04C" w14:textId="77777777" w:rsidR="0082745C" w:rsidRDefault="00000000">
      <w:pPr>
        <w:pStyle w:val="Heading1"/>
        <w:spacing w:before="80" w:after="160"/>
        <w:rPr>
          <w:color w:val="0B0B0B"/>
          <w:sz w:val="40"/>
        </w:rPr>
      </w:pPr>
      <w:r>
        <w:rPr>
          <w:color w:val="0B0B0B"/>
          <w:sz w:val="40"/>
        </w:rPr>
        <w:t>Training Dataset Report</w:t>
      </w:r>
    </w:p>
    <w:p w14:paraId="5A7AA7C3" w14:textId="49A001E8" w:rsidR="0082745C" w:rsidRPr="0082745C" w:rsidRDefault="0082745C">
      <w:pPr>
        <w:pStyle w:val="Heading1"/>
        <w:spacing w:before="80" w:after="160"/>
        <w:rPr>
          <w:color w:val="0B0B0B"/>
          <w:sz w:val="16"/>
          <w:szCs w:val="10"/>
        </w:rPr>
      </w:pPr>
      <w:r>
        <w:rPr>
          <w:color w:val="0B0B0B"/>
          <w:sz w:val="16"/>
          <w:szCs w:val="10"/>
        </w:rPr>
        <w:t>Prepared By – Mandar Vilas Ukrulkar / 24-07-25</w:t>
      </w:r>
    </w:p>
    <w:p w14:paraId="7DBBC9F6" w14:textId="2AAA1880" w:rsidR="0082745C" w:rsidRDefault="00000000">
      <w:pPr>
        <w:pStyle w:val="Heading1"/>
        <w:spacing w:before="80" w:after="160"/>
        <w:rPr>
          <w:color w:val="0B0B0B"/>
          <w:sz w:val="40"/>
        </w:rPr>
      </w:pPr>
      <w:r>
        <w:rPr>
          <w:color w:val="0B0B0B"/>
          <w:sz w:val="40"/>
        </w:rPr>
        <w:t xml:space="preserve"> </w:t>
      </w:r>
    </w:p>
    <w:p w14:paraId="1F43BA56" w14:textId="2149005E" w:rsidR="00DC6735" w:rsidRDefault="0082745C">
      <w:pPr>
        <w:pStyle w:val="Heading1"/>
        <w:spacing w:before="80" w:after="160"/>
      </w:pPr>
      <w:r>
        <w:rPr>
          <w:color w:val="0B0B0B"/>
          <w:sz w:val="40"/>
        </w:rPr>
        <w:t xml:space="preserve">Name: </w:t>
      </w:r>
      <w:r w:rsidR="00000000">
        <w:rPr>
          <w:rFonts w:ascii="Consolas" w:hAnsi="Consolas"/>
          <w:color w:val="0B0B0B"/>
          <w:sz w:val="39"/>
        </w:rPr>
        <w:t>dataset_v16v2_200726.clean.jsonl</w:t>
      </w:r>
    </w:p>
    <w:p w14:paraId="045046EB" w14:textId="77777777" w:rsidR="00DC6735" w:rsidRDefault="00000000">
      <w:pPr>
        <w:spacing w:after="160"/>
        <w:rPr>
          <w:rFonts w:hint="eastAsia"/>
        </w:rPr>
      </w:pPr>
      <w:r>
        <w:rPr>
          <w:b/>
        </w:rPr>
        <w:t>Model target:</w:t>
      </w:r>
      <w:r>
        <w:t xml:space="preserve"> Qwen3.5-4B financial-table-structure analyst (LoRA fine-tune, </w:t>
      </w:r>
      <w:r>
        <w:rPr>
          <w:rFonts w:ascii="Consolas" w:hAnsi="Consolas"/>
          <w:color w:val="8A2B06"/>
          <w:sz w:val="20"/>
        </w:rPr>
        <w:t>teamspace_uploads_Qwen3.5-4B_v16v2_clean_dataset_220726_3epochs</w:t>
      </w:r>
      <w:r>
        <w:t>)</w:t>
      </w:r>
    </w:p>
    <w:p w14:paraId="16BD5866" w14:textId="77777777" w:rsidR="00DC6735" w:rsidRDefault="00000000">
      <w:pPr>
        <w:spacing w:after="160"/>
        <w:rPr>
          <w:rFonts w:hint="eastAsia"/>
        </w:rPr>
      </w:pPr>
      <w:r>
        <w:rPr>
          <w:b/>
        </w:rPr>
        <w:t>Dataset file:</w:t>
      </w:r>
      <w:r>
        <w:t xml:space="preserve"> </w:t>
      </w:r>
      <w:r>
        <w:rPr>
          <w:rFonts w:ascii="Consolas" w:hAnsi="Consolas"/>
          <w:color w:val="8A2B06"/>
          <w:sz w:val="20"/>
        </w:rPr>
        <w:t>dataset_v16v2_200726.clean.jsonl</w:t>
      </w:r>
      <w:r>
        <w:t xml:space="preserve"> (6,109 records, ~105 MB)</w:t>
      </w:r>
    </w:p>
    <w:p w14:paraId="78F50F47" w14:textId="77777777" w:rsidR="00DC6735" w:rsidRDefault="00000000">
      <w:pPr>
        <w:spacing w:after="160"/>
        <w:rPr>
          <w:rFonts w:hint="eastAsia"/>
        </w:rPr>
      </w:pPr>
      <w:r>
        <w:rPr>
          <w:b/>
        </w:rPr>
        <w:t>Source corpus:</w:t>
      </w:r>
      <w:r>
        <w:t xml:space="preserve"> </w:t>
      </w:r>
      <w:r>
        <w:rPr>
          <w:rFonts w:ascii="Consolas" w:hAnsi="Consolas"/>
          <w:color w:val="8A2B06"/>
          <w:sz w:val="20"/>
        </w:rPr>
        <w:t>C:\Users\mandar.ukrulkar\Downloads\data_raw_in_out_jsons_200726\output</w:t>
      </w:r>
      <w:r>
        <w:t xml:space="preserve"> (the exact job-output snapshot used to build the dataset)</w:t>
      </w:r>
    </w:p>
    <w:p w14:paraId="6C5808E8" w14:textId="77777777" w:rsidR="00DC6735" w:rsidRDefault="00000000">
      <w:pPr>
        <w:spacing w:after="160"/>
      </w:pPr>
      <w:r>
        <w:rPr>
          <w:b/>
        </w:rPr>
        <w:t>Report generated:</w:t>
      </w:r>
      <w:r>
        <w:t xml:space="preserve"> 2026-07-24</w:t>
      </w:r>
    </w:p>
    <w:p w14:paraId="11A6BD38" w14:textId="77777777" w:rsidR="0082745C" w:rsidRDefault="0082745C">
      <w:pPr>
        <w:spacing w:after="160"/>
        <w:rPr>
          <w:rFonts w:hint="eastAsia"/>
        </w:rPr>
      </w:pPr>
    </w:p>
    <w:p w14:paraId="085A9EB3" w14:textId="77777777" w:rsidR="00DC6735" w:rsidRDefault="00000000">
      <w:pPr>
        <w:pStyle w:val="Heading2"/>
        <w:spacing w:before="280" w:after="160"/>
      </w:pPr>
      <w:r>
        <w:rPr>
          <w:color w:val="0B0B0B"/>
          <w:sz w:val="30"/>
        </w:rPr>
        <w:t>1. Executive summary</w:t>
      </w:r>
    </w:p>
    <w:tbl>
      <w:tblPr>
        <w:tblW w:w="0" w:type="auto"/>
        <w:jc w:val="center"/>
        <w:tblBorders>
          <w:top w:val="single" w:sz="4" w:space="0" w:color="D9D8D2"/>
          <w:left w:val="single" w:sz="4" w:space="0" w:color="D9D8D2"/>
          <w:bottom w:val="single" w:sz="4" w:space="0" w:color="D9D8D2"/>
          <w:right w:val="single" w:sz="4" w:space="0" w:color="D9D8D2"/>
          <w:insideH w:val="single" w:sz="4" w:space="0" w:color="D9D8D2"/>
          <w:insideV w:val="single" w:sz="4" w:space="0" w:color="D9D8D2"/>
        </w:tblBorders>
        <w:tblLook w:val="04A0" w:firstRow="1" w:lastRow="0" w:firstColumn="1" w:lastColumn="0" w:noHBand="0" w:noVBand="1"/>
      </w:tblPr>
      <w:tblGrid>
        <w:gridCol w:w="4464"/>
        <w:gridCol w:w="4464"/>
      </w:tblGrid>
      <w:tr w:rsidR="00DC6735" w14:paraId="60543E9A" w14:textId="77777777">
        <w:trPr>
          <w:jc w:val="center"/>
        </w:trPr>
        <w:tc>
          <w:tcPr>
            <w:tcW w:w="4464" w:type="dxa"/>
            <w:shd w:val="clear" w:color="auto" w:fill="2A78D6"/>
          </w:tcPr>
          <w:p w14:paraId="1786FA98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w="4464" w:type="dxa"/>
            <w:shd w:val="clear" w:color="auto" w:fill="2A78D6"/>
          </w:tcPr>
          <w:p w14:paraId="30484A39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 w:rsidR="00DC6735" w14:paraId="66BAC6D7" w14:textId="77777777">
        <w:trPr>
          <w:jc w:val="center"/>
        </w:trPr>
        <w:tc>
          <w:tcPr>
            <w:tcW w:w="4464" w:type="dxa"/>
            <w:shd w:val="clear" w:color="auto" w:fill="FCFCFB"/>
          </w:tcPr>
          <w:p w14:paraId="1AF2883E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Source documents processed</w:t>
            </w:r>
          </w:p>
        </w:tc>
        <w:tc>
          <w:tcPr>
            <w:tcW w:w="4464" w:type="dxa"/>
            <w:shd w:val="clear" w:color="auto" w:fill="FCFCFB"/>
          </w:tcPr>
          <w:p w14:paraId="65617462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249 unique financial-statement documents (+3 re-run twice, +1 non-classification QA job)</w:t>
            </w:r>
          </w:p>
        </w:tc>
      </w:tr>
      <w:tr w:rsidR="00DC6735" w14:paraId="4D841B8B" w14:textId="77777777">
        <w:trPr>
          <w:jc w:val="center"/>
        </w:trPr>
        <w:tc>
          <w:tcPr>
            <w:tcW w:w="4464" w:type="dxa"/>
            <w:shd w:val="clear" w:color="auto" w:fill="F2F2EF"/>
          </w:tcPr>
          <w:p w14:paraId="266B0DE2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Total tables detected by the parser</w:t>
            </w:r>
          </w:p>
        </w:tc>
        <w:tc>
          <w:tcPr>
            <w:tcW w:w="4464" w:type="dxa"/>
            <w:shd w:val="clear" w:color="auto" w:fill="F2F2EF"/>
          </w:tcPr>
          <w:p w14:paraId="74006087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19,821</w:t>
            </w:r>
          </w:p>
        </w:tc>
      </w:tr>
      <w:tr w:rsidR="00DC6735" w14:paraId="736FA688" w14:textId="77777777">
        <w:trPr>
          <w:jc w:val="center"/>
        </w:trPr>
        <w:tc>
          <w:tcPr>
            <w:tcW w:w="4464" w:type="dxa"/>
            <w:shd w:val="clear" w:color="auto" w:fill="FCFCFB"/>
          </w:tcPr>
          <w:p w14:paraId="6021911D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Tables classified as *financial* (candidates for labeling)</w:t>
            </w:r>
          </w:p>
        </w:tc>
        <w:tc>
          <w:tcPr>
            <w:tcW w:w="4464" w:type="dxa"/>
            <w:shd w:val="clear" w:color="auto" w:fill="FCFCFB"/>
          </w:tcPr>
          <w:p w14:paraId="02C8FBC7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6,260</w:t>
            </w:r>
          </w:p>
        </w:tc>
      </w:tr>
      <w:tr w:rsidR="00DC6735" w14:paraId="27C67D17" w14:textId="77777777">
        <w:trPr>
          <w:jc w:val="center"/>
        </w:trPr>
        <w:tc>
          <w:tcPr>
            <w:tcW w:w="4464" w:type="dxa"/>
            <w:shd w:val="clear" w:color="auto" w:fill="F2F2EF"/>
          </w:tcPr>
          <w:p w14:paraId="1D5493D1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Tables skipped as non-financial (TOC, prose, boilerplate)</w:t>
            </w:r>
          </w:p>
        </w:tc>
        <w:tc>
          <w:tcPr>
            <w:tcW w:w="4464" w:type="dxa"/>
            <w:shd w:val="clear" w:color="auto" w:fill="F2F2EF"/>
          </w:tcPr>
          <w:p w14:paraId="50B76C67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13,532 (68%)</w:t>
            </w:r>
          </w:p>
        </w:tc>
      </w:tr>
      <w:tr w:rsidR="00DC6735" w14:paraId="3B113FCA" w14:textId="77777777">
        <w:trPr>
          <w:jc w:val="center"/>
        </w:trPr>
        <w:tc>
          <w:tcPr>
            <w:tcW w:w="4464" w:type="dxa"/>
            <w:shd w:val="clear" w:color="auto" w:fill="FCFCFB"/>
          </w:tcPr>
          <w:p w14:paraId="04B9B4C0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Labeled input/response pairs found on disk</w:t>
            </w:r>
          </w:p>
        </w:tc>
        <w:tc>
          <w:tcPr>
            <w:tcW w:w="4464" w:type="dxa"/>
            <w:shd w:val="clear" w:color="auto" w:fill="FCFCFB"/>
          </w:tcPr>
          <w:p w14:paraId="6357D19C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6,290 (6,289 with a matching response — the one unmatched input is correctly excluded)</w:t>
            </w:r>
          </w:p>
        </w:tc>
      </w:tr>
      <w:tr w:rsidR="00DC6735" w14:paraId="45EFDADB" w14:textId="77777777">
        <w:trPr>
          <w:jc w:val="center"/>
        </w:trPr>
        <w:tc>
          <w:tcPr>
            <w:tcW w:w="4464" w:type="dxa"/>
            <w:shd w:val="clear" w:color="auto" w:fill="F2F2EF"/>
          </w:tcPr>
          <w:p w14:paraId="1FC8F45D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Raw compiled dataset (</w:t>
            </w:r>
            <w:r>
              <w:rPr>
                <w:rFonts w:ascii="Consolas" w:hAnsi="Consolas"/>
                <w:color w:val="8A2B06"/>
                <w:sz w:val="18"/>
              </w:rPr>
              <w:t>dataset_v16v2_200726.jsonl</w:t>
            </w:r>
            <w:r>
              <w:rPr>
                <w:sz w:val="19"/>
              </w:rPr>
              <w:t>)</w:t>
            </w:r>
          </w:p>
        </w:tc>
        <w:tc>
          <w:tcPr>
            <w:tcW w:w="4464" w:type="dxa"/>
            <w:shd w:val="clear" w:color="auto" w:fill="F2F2EF"/>
          </w:tcPr>
          <w:p w14:paraId="7B534E4D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 xml:space="preserve">6,289 records — </w:t>
            </w:r>
            <w:r>
              <w:rPr>
                <w:b/>
                <w:sz w:val="19"/>
              </w:rPr>
              <w:t>exact match</w:t>
            </w:r>
            <w:r>
              <w:rPr>
                <w:sz w:val="19"/>
              </w:rPr>
              <w:t xml:space="preserve"> to the source corpus</w:t>
            </w:r>
          </w:p>
        </w:tc>
      </w:tr>
      <w:tr w:rsidR="00DC6735" w14:paraId="11EC8616" w14:textId="77777777">
        <w:trPr>
          <w:jc w:val="center"/>
        </w:trPr>
        <w:tc>
          <w:tcPr>
            <w:tcW w:w="4464" w:type="dxa"/>
            <w:shd w:val="clear" w:color="auto" w:fill="FCFCFB"/>
          </w:tcPr>
          <w:p w14:paraId="1DABD934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sz w:val="19"/>
              </w:rPr>
              <w:t>Final clean training dataset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8A2B06"/>
                <w:sz w:val="18"/>
              </w:rPr>
              <w:t>*.clean.jsonl</w:t>
            </w:r>
            <w:r>
              <w:rPr>
                <w:sz w:val="19"/>
              </w:rPr>
              <w:t>)</w:t>
            </w:r>
          </w:p>
        </w:tc>
        <w:tc>
          <w:tcPr>
            <w:tcW w:w="4464" w:type="dxa"/>
            <w:shd w:val="clear" w:color="auto" w:fill="FCFCFB"/>
          </w:tcPr>
          <w:p w14:paraId="64B86AF8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sz w:val="19"/>
              </w:rPr>
              <w:t>6,109 records</w:t>
            </w:r>
          </w:p>
        </w:tc>
      </w:tr>
      <w:tr w:rsidR="00DC6735" w14:paraId="170431AD" w14:textId="77777777">
        <w:trPr>
          <w:jc w:val="center"/>
        </w:trPr>
        <w:tc>
          <w:tcPr>
            <w:tcW w:w="4464" w:type="dxa"/>
            <w:shd w:val="clear" w:color="auto" w:fill="F2F2EF"/>
          </w:tcPr>
          <w:p w14:paraId="39E0B33D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Removed by de-duplication</w:t>
            </w:r>
          </w:p>
        </w:tc>
        <w:tc>
          <w:tcPr>
            <w:tcW w:w="4464" w:type="dxa"/>
            <w:shd w:val="clear" w:color="auto" w:fill="F2F2EF"/>
          </w:tcPr>
          <w:p w14:paraId="7C48FC4E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180 records (2.9%)</w:t>
            </w:r>
          </w:p>
        </w:tc>
      </w:tr>
      <w:tr w:rsidR="00DC6735" w14:paraId="749FA0AC" w14:textId="77777777">
        <w:trPr>
          <w:jc w:val="center"/>
        </w:trPr>
        <w:tc>
          <w:tcPr>
            <w:tcW w:w="4464" w:type="dxa"/>
            <w:shd w:val="clear" w:color="auto" w:fill="FCFCFB"/>
          </w:tcPr>
          <w:p w14:paraId="16F27EB6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 xml:space="preserve">Distinct </w:t>
            </w:r>
            <w:r>
              <w:rPr>
                <w:rFonts w:ascii="Consolas" w:hAnsi="Consolas"/>
                <w:color w:val="8A2B06"/>
                <w:sz w:val="18"/>
              </w:rPr>
              <w:t>table_type</w:t>
            </w:r>
            <w:r>
              <w:rPr>
                <w:sz w:val="19"/>
              </w:rPr>
              <w:t xml:space="preserve"> label strings</w:t>
            </w:r>
          </w:p>
        </w:tc>
        <w:tc>
          <w:tcPr>
            <w:tcW w:w="4464" w:type="dxa"/>
            <w:shd w:val="clear" w:color="auto" w:fill="FCFCFB"/>
          </w:tcPr>
          <w:p w14:paraId="6FF3BCD1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2,232 (long-tail, free-text-ish taxonomy)</w:t>
            </w:r>
          </w:p>
        </w:tc>
      </w:tr>
      <w:tr w:rsidR="00DC6735" w14:paraId="10740AE7" w14:textId="77777777">
        <w:trPr>
          <w:jc w:val="center"/>
        </w:trPr>
        <w:tc>
          <w:tcPr>
            <w:tcW w:w="4464" w:type="dxa"/>
            <w:shd w:val="clear" w:color="auto" w:fill="F2F2EF"/>
          </w:tcPr>
          <w:p w14:paraId="2AE3E557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Median table shape</w:t>
            </w:r>
          </w:p>
        </w:tc>
        <w:tc>
          <w:tcPr>
            <w:tcW w:w="4464" w:type="dxa"/>
            <w:shd w:val="clear" w:color="auto" w:fill="F2F2EF"/>
          </w:tcPr>
          <w:p w14:paraId="03E20204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11 rows × 4 columns</w:t>
            </w:r>
          </w:p>
        </w:tc>
      </w:tr>
      <w:tr w:rsidR="00DC6735" w14:paraId="5AD1E8FE" w14:textId="77777777">
        <w:trPr>
          <w:jc w:val="center"/>
        </w:trPr>
        <w:tc>
          <w:tcPr>
            <w:tcW w:w="4464" w:type="dxa"/>
            <w:shd w:val="clear" w:color="auto" w:fill="FCFCFB"/>
          </w:tcPr>
          <w:p w14:paraId="4ED30347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Median prompt / completion length</w:t>
            </w:r>
          </w:p>
        </w:tc>
        <w:tc>
          <w:tcPr>
            <w:tcW w:w="4464" w:type="dxa"/>
            <w:shd w:val="clear" w:color="auto" w:fill="FCFCFB"/>
          </w:tcPr>
          <w:p w14:paraId="10319FF3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2,225 / 9,035 characters</w:t>
            </w:r>
          </w:p>
        </w:tc>
      </w:tr>
      <w:tr w:rsidR="00DC6735" w14:paraId="49BADDAC" w14:textId="77777777">
        <w:trPr>
          <w:jc w:val="center"/>
        </w:trPr>
        <w:tc>
          <w:tcPr>
            <w:tcW w:w="4464" w:type="dxa"/>
            <w:shd w:val="clear" w:color="auto" w:fill="F2F2EF"/>
          </w:tcPr>
          <w:p w14:paraId="41E44F8F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Fine-tuning method</w:t>
            </w:r>
          </w:p>
        </w:tc>
        <w:tc>
          <w:tcPr>
            <w:tcW w:w="4464" w:type="dxa"/>
            <w:shd w:val="clear" w:color="auto" w:fill="F2F2EF"/>
          </w:tcPr>
          <w:p w14:paraId="6ECD0161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LoRA (r=32, alpha=64) on Qwen/Qwen3.5-4B, 1× NVIDIA L4 GPU</w:t>
            </w:r>
          </w:p>
        </w:tc>
      </w:tr>
      <w:tr w:rsidR="00DC6735" w14:paraId="60AB2FDD" w14:textId="77777777">
        <w:trPr>
          <w:jc w:val="center"/>
        </w:trPr>
        <w:tc>
          <w:tcPr>
            <w:tcW w:w="4464" w:type="dxa"/>
            <w:shd w:val="clear" w:color="auto" w:fill="FCFCFB"/>
          </w:tcPr>
          <w:p w14:paraId="20D6FE01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Training run</w:t>
            </w:r>
          </w:p>
        </w:tc>
        <w:tc>
          <w:tcPr>
            <w:tcW w:w="4464" w:type="dxa"/>
            <w:shd w:val="clear" w:color="auto" w:fill="FCFCFB"/>
          </w:tcPr>
          <w:p w14:paraId="72DB4321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3 epochs / 384 steps, effective batch 48, ~14.7 hours</w:t>
            </w:r>
          </w:p>
        </w:tc>
      </w:tr>
      <w:tr w:rsidR="00DC6735" w14:paraId="3D9B76EA" w14:textId="77777777">
        <w:trPr>
          <w:jc w:val="center"/>
        </w:trPr>
        <w:tc>
          <w:tcPr>
            <w:tcW w:w="4464" w:type="dxa"/>
            <w:shd w:val="clear" w:color="auto" w:fill="F2F2EF"/>
          </w:tcPr>
          <w:p w14:paraId="22581A43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Final training loss (epoch 3 mean)</w:t>
            </w:r>
          </w:p>
        </w:tc>
        <w:tc>
          <w:tcPr>
            <w:tcW w:w="4464" w:type="dxa"/>
            <w:shd w:val="clear" w:color="auto" w:fill="F2F2EF"/>
          </w:tcPr>
          <w:p w14:paraId="28F4422D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~0.027 (down from ~4.3 pre-warmup)</w:t>
            </w:r>
          </w:p>
        </w:tc>
      </w:tr>
    </w:tbl>
    <w:p w14:paraId="102DBC30" w14:textId="77777777" w:rsidR="00DC6735" w:rsidRDefault="00DC6735">
      <w:pPr>
        <w:spacing w:after="80"/>
        <w:rPr>
          <w:rFonts w:hint="eastAsia"/>
        </w:rPr>
      </w:pPr>
    </w:p>
    <w:p w14:paraId="4599345C" w14:textId="77777777" w:rsidR="00DC6735" w:rsidRDefault="00000000">
      <w:pPr>
        <w:spacing w:after="160"/>
        <w:rPr>
          <w:rFonts w:hint="eastAsia"/>
        </w:rPr>
      </w:pPr>
      <w:r>
        <w:t>The training set is built from real financial-statement tables (10-Ks, 20-Fs, annual reports, insurance/bank filings) extracted and pre-labeled by an Azure LLM pass, then compiled and de-duplicated for supervised fine-tuning of a smaller local model to imitate that labeling.</w:t>
      </w:r>
    </w:p>
    <w:p w14:paraId="217A8CBC" w14:textId="77777777" w:rsidR="00DC6735" w:rsidRDefault="00000000">
      <w:pPr>
        <w:pStyle w:val="Heading2"/>
        <w:spacing w:before="280" w:after="160"/>
      </w:pPr>
      <w:r>
        <w:rPr>
          <w:color w:val="0B0B0B"/>
          <w:sz w:val="30"/>
        </w:rPr>
        <w:t>2. How this report was produced</w:t>
      </w:r>
    </w:p>
    <w:p w14:paraId="7575BD91" w14:textId="77777777" w:rsidR="00DC6735" w:rsidRDefault="00000000">
      <w:pPr>
        <w:spacing w:after="160"/>
        <w:rPr>
          <w:rFonts w:hint="eastAsia"/>
        </w:rPr>
      </w:pPr>
      <w:r>
        <w:t>Two data sources were combined, per explicit instruction to use only these two locations:</w:t>
      </w:r>
    </w:p>
    <w:p w14:paraId="40F6697F" w14:textId="77777777" w:rsidR="00DC6735" w:rsidRDefault="00000000">
      <w:pPr>
        <w:pStyle w:val="ListBullet"/>
        <w:spacing w:after="80"/>
        <w:rPr>
          <w:rFonts w:hint="eastAsia"/>
        </w:rPr>
      </w:pPr>
      <w:r>
        <w:rPr>
          <w:b/>
        </w:rPr>
        <w:t>Source job outputs</w:t>
      </w:r>
      <w:r>
        <w:t xml:space="preserve"> — </w:t>
      </w:r>
      <w:r>
        <w:rPr>
          <w:rFonts w:ascii="Consolas" w:hAnsi="Consolas"/>
          <w:color w:val="8A2B06"/>
          <w:sz w:val="20"/>
        </w:rPr>
        <w:t>C:\Users\mandar.ukrulkar\Downloads\data_raw_in_out_jsons_200726\output</w:t>
      </w:r>
      <w:r>
        <w:t xml:space="preserve"> (253 job folders), each a UUID directory containing one </w:t>
      </w:r>
      <w:r>
        <w:rPr>
          <w:rFonts w:ascii="Consolas" w:hAnsi="Consolas"/>
          <w:color w:val="8A2B06"/>
          <w:sz w:val="20"/>
        </w:rPr>
        <w:t>job.json</w:t>
      </w:r>
      <w:r>
        <w:t xml:space="preserve"> (document metadata) plus one </w:t>
      </w:r>
      <w:r>
        <w:rPr>
          <w:rFonts w:ascii="Consolas" w:hAnsi="Consolas"/>
          <w:color w:val="8A2B06"/>
          <w:sz w:val="20"/>
        </w:rPr>
        <w:t>classify_tbl-N_input.json</w:t>
      </w:r>
      <w:r>
        <w:t xml:space="preserve"> / </w:t>
      </w:r>
      <w:r>
        <w:rPr>
          <w:rFonts w:ascii="Consolas" w:hAnsi="Consolas"/>
          <w:color w:val="8A2B06"/>
          <w:sz w:val="20"/>
        </w:rPr>
        <w:t>classify_tbl-N_response.json</w:t>
      </w:r>
      <w:r>
        <w:t xml:space="preserve"> pair per financial table. This is the exact snapshot </w:t>
      </w:r>
      <w:r>
        <w:rPr>
          <w:rFonts w:ascii="Consolas" w:hAnsi="Consolas"/>
          <w:color w:val="8A2B06"/>
          <w:sz w:val="20"/>
        </w:rPr>
        <w:t>dataprep_140726.py</w:t>
      </w:r>
      <w:r>
        <w:t xml:space="preserve"> compiled from.</w:t>
      </w:r>
    </w:p>
    <w:p w14:paraId="483A16DC" w14:textId="77777777" w:rsidR="00DC6735" w:rsidRDefault="00000000">
      <w:pPr>
        <w:pStyle w:val="ListBullet"/>
        <w:spacing w:after="80"/>
        <w:rPr>
          <w:rFonts w:hint="eastAsia"/>
        </w:rPr>
      </w:pPr>
      <w:r>
        <w:rPr>
          <w:b/>
        </w:rPr>
        <w:t>The compiled training files</w:t>
      </w:r>
      <w:r>
        <w:t xml:space="preserve"> — </w:t>
      </w:r>
      <w:r>
        <w:rPr>
          <w:rFonts w:ascii="Consolas" w:hAnsi="Consolas"/>
          <w:color w:val="8A2B06"/>
          <w:sz w:val="20"/>
        </w:rPr>
        <w:t>dataset_v16v2_200726.jsonl</w:t>
      </w:r>
      <w:r>
        <w:t xml:space="preserve"> (raw, via </w:t>
      </w:r>
      <w:r>
        <w:rPr>
          <w:rFonts w:ascii="Consolas" w:hAnsi="Consolas"/>
          <w:color w:val="8A2B06"/>
          <w:sz w:val="20"/>
        </w:rPr>
        <w:t>dataprep_140726.py</w:t>
      </w:r>
      <w:r>
        <w:t xml:space="preserve">) and </w:t>
      </w:r>
      <w:r>
        <w:rPr>
          <w:rFonts w:ascii="Consolas" w:hAnsi="Consolas"/>
          <w:color w:val="8A2B06"/>
          <w:sz w:val="20"/>
        </w:rPr>
        <w:t>dataset_v16v2_200726.clean.jsonl</w:t>
      </w:r>
      <w:r>
        <w:t xml:space="preserve"> (de-duplicated, via </w:t>
      </w:r>
      <w:r>
        <w:rPr>
          <w:rFonts w:ascii="Consolas" w:hAnsi="Consolas"/>
          <w:color w:val="8A2B06"/>
          <w:sz w:val="20"/>
        </w:rPr>
        <w:t>dataset_clean.py</w:t>
      </w:r>
      <w:r>
        <w:t>), analyzed directly for the EDA in §5.</w:t>
      </w:r>
    </w:p>
    <w:p w14:paraId="778BDB12" w14:textId="77777777" w:rsidR="00DC6735" w:rsidRDefault="00000000">
      <w:pPr>
        <w:spacing w:after="160"/>
        <w:rPr>
          <w:rFonts w:hint="eastAsia"/>
        </w:rPr>
      </w:pPr>
      <w:r>
        <w:rPr>
          <w:b/>
        </w:rPr>
        <w:t>Provenance check:</w:t>
      </w:r>
      <w:r>
        <w:t xml:space="preserve"> the source folder contains 6,290 </w:t>
      </w:r>
      <w:r>
        <w:rPr>
          <w:rFonts w:ascii="Consolas" w:hAnsi="Consolas"/>
          <w:color w:val="8A2B06"/>
          <w:sz w:val="20"/>
        </w:rPr>
        <w:t>_input.json</w:t>
      </w:r>
      <w:r>
        <w:t xml:space="preserve"> files, of which 6,289 have a matching </w:t>
      </w:r>
      <w:r>
        <w:rPr>
          <w:rFonts w:ascii="Consolas" w:hAnsi="Consolas"/>
          <w:color w:val="8A2B06"/>
          <w:sz w:val="20"/>
        </w:rPr>
        <w:t>_response.json</w:t>
      </w:r>
      <w:r>
        <w:t xml:space="preserve"> (the one unmatched input is correctly skipped by </w:t>
      </w:r>
      <w:r>
        <w:rPr>
          <w:rFonts w:ascii="Consolas" w:hAnsi="Consolas"/>
          <w:color w:val="8A2B06"/>
          <w:sz w:val="20"/>
        </w:rPr>
        <w:t>dataprep_140726.py</w:t>
      </w:r>
      <w:r>
        <w:t xml:space="preserve">'s pairing logic) — an </w:t>
      </w:r>
      <w:r>
        <w:rPr>
          <w:b/>
        </w:rPr>
        <w:t>exact match</w:t>
      </w:r>
      <w:r>
        <w:t xml:space="preserve"> to the 6,289-record raw dataset. Unlike an earlier pass of this report (which reconstructed provenance from a different, partially-reorganized pair of folders), §3 below reconciles precisely with the compiled dataset — no representativeness caveat needed this time.</w:t>
      </w:r>
    </w:p>
    <w:p w14:paraId="4B6049FC" w14:textId="77777777" w:rsidR="00DC6735" w:rsidRDefault="00000000">
      <w:pPr>
        <w:pStyle w:val="Heading2"/>
        <w:spacing w:before="280" w:after="160"/>
      </w:pPr>
      <w:r>
        <w:rPr>
          <w:color w:val="0B0B0B"/>
          <w:sz w:val="30"/>
        </w:rPr>
        <w:t>3. Source corpus</w:t>
      </w:r>
    </w:p>
    <w:p w14:paraId="4803198B" w14:textId="77777777" w:rsidR="00DC6735" w:rsidRDefault="00000000">
      <w:pPr>
        <w:pStyle w:val="Heading3"/>
        <w:spacing w:before="280" w:after="160"/>
      </w:pPr>
      <w:r>
        <w:rPr>
          <w:color w:val="2A78D6"/>
          <w:sz w:val="25"/>
        </w:rPr>
        <w:t>3.1 Job-level overview</w:t>
      </w:r>
    </w:p>
    <w:tbl>
      <w:tblPr>
        <w:tblW w:w="0" w:type="auto"/>
        <w:jc w:val="center"/>
        <w:tblBorders>
          <w:top w:val="single" w:sz="4" w:space="0" w:color="D9D8D2"/>
          <w:left w:val="single" w:sz="4" w:space="0" w:color="D9D8D2"/>
          <w:bottom w:val="single" w:sz="4" w:space="0" w:color="D9D8D2"/>
          <w:right w:val="single" w:sz="4" w:space="0" w:color="D9D8D2"/>
          <w:insideH w:val="single" w:sz="4" w:space="0" w:color="D9D8D2"/>
          <w:insideV w:val="single" w:sz="4" w:space="0" w:color="D9D8D2"/>
        </w:tblBorders>
        <w:tblLook w:val="04A0" w:firstRow="1" w:lastRow="0" w:firstColumn="1" w:lastColumn="0" w:noHBand="0" w:noVBand="1"/>
      </w:tblPr>
      <w:tblGrid>
        <w:gridCol w:w="4464"/>
        <w:gridCol w:w="4464"/>
      </w:tblGrid>
      <w:tr w:rsidR="00DC6735" w14:paraId="2786479C" w14:textId="77777777">
        <w:trPr>
          <w:jc w:val="center"/>
        </w:trPr>
        <w:tc>
          <w:tcPr>
            <w:tcW w:w="4464" w:type="dxa"/>
            <w:shd w:val="clear" w:color="auto" w:fill="2A78D6"/>
          </w:tcPr>
          <w:p w14:paraId="39F7D0E6" w14:textId="77777777" w:rsidR="00DC6735" w:rsidRDefault="00DC6735">
            <w:pPr>
              <w:spacing w:after="40"/>
              <w:rPr>
                <w:rFonts w:hint="eastAsia"/>
              </w:rPr>
            </w:pPr>
          </w:p>
        </w:tc>
        <w:tc>
          <w:tcPr>
            <w:tcW w:w="4464" w:type="dxa"/>
            <w:shd w:val="clear" w:color="auto" w:fill="2A78D6"/>
          </w:tcPr>
          <w:p w14:paraId="7315D481" w14:textId="77777777" w:rsidR="00DC6735" w:rsidRDefault="00DC6735">
            <w:pPr>
              <w:spacing w:after="40"/>
              <w:rPr>
                <w:rFonts w:hint="eastAsia"/>
              </w:rPr>
            </w:pPr>
          </w:p>
        </w:tc>
      </w:tr>
      <w:tr w:rsidR="00DC6735" w14:paraId="227D1579" w14:textId="77777777">
        <w:trPr>
          <w:jc w:val="center"/>
        </w:trPr>
        <w:tc>
          <w:tcPr>
            <w:tcW w:w="4464" w:type="dxa"/>
            <w:shd w:val="clear" w:color="auto" w:fill="FCFCFB"/>
          </w:tcPr>
          <w:p w14:paraId="6575F121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Total processing jobs</w:t>
            </w:r>
          </w:p>
        </w:tc>
        <w:tc>
          <w:tcPr>
            <w:tcW w:w="4464" w:type="dxa"/>
            <w:shd w:val="clear" w:color="auto" w:fill="FCFCFB"/>
          </w:tcPr>
          <w:p w14:paraId="78B0676F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253</w:t>
            </w:r>
          </w:p>
        </w:tc>
      </w:tr>
      <w:tr w:rsidR="00DC6735" w14:paraId="7B54969E" w14:textId="77777777">
        <w:trPr>
          <w:jc w:val="center"/>
        </w:trPr>
        <w:tc>
          <w:tcPr>
            <w:tcW w:w="4464" w:type="dxa"/>
            <w:shd w:val="clear" w:color="auto" w:fill="F2F2EF"/>
          </w:tcPr>
          <w:p w14:paraId="33AD7815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— classification jobs (</w:t>
            </w:r>
            <w:r>
              <w:rPr>
                <w:rFonts w:ascii="Consolas" w:hAnsi="Consolas"/>
                <w:color w:val="8A2B06"/>
                <w:sz w:val="18"/>
              </w:rPr>
              <w:t>ai_provider: azure</w:t>
            </w:r>
            <w:r>
              <w:rPr>
                <w:sz w:val="19"/>
              </w:rPr>
              <w:t>)</w:t>
            </w:r>
          </w:p>
        </w:tc>
        <w:tc>
          <w:tcPr>
            <w:tcW w:w="4464" w:type="dxa"/>
            <w:shd w:val="clear" w:color="auto" w:fill="F2F2EF"/>
          </w:tcPr>
          <w:p w14:paraId="20E48F27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251</w:t>
            </w:r>
          </w:p>
        </w:tc>
      </w:tr>
      <w:tr w:rsidR="00DC6735" w14:paraId="7F2D9D85" w14:textId="77777777">
        <w:trPr>
          <w:jc w:val="center"/>
        </w:trPr>
        <w:tc>
          <w:tcPr>
            <w:tcW w:w="4464" w:type="dxa"/>
            <w:shd w:val="clear" w:color="auto" w:fill="FCFCFB"/>
          </w:tcPr>
          <w:p w14:paraId="7723283A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— non-classification QA/extraction jobs (no labeling)</w:t>
            </w:r>
          </w:p>
        </w:tc>
        <w:tc>
          <w:tcPr>
            <w:tcW w:w="4464" w:type="dxa"/>
            <w:shd w:val="clear" w:color="auto" w:fill="FCFCFB"/>
          </w:tcPr>
          <w:p w14:paraId="1ACB2A97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2</w:t>
            </w:r>
          </w:p>
        </w:tc>
      </w:tr>
      <w:tr w:rsidR="00DC6735" w14:paraId="10366678" w14:textId="77777777">
        <w:trPr>
          <w:jc w:val="center"/>
        </w:trPr>
        <w:tc>
          <w:tcPr>
            <w:tcW w:w="4464" w:type="dxa"/>
            <w:shd w:val="clear" w:color="auto" w:fill="F2F2EF"/>
          </w:tcPr>
          <w:p w14:paraId="14010023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Unique source documents</w:t>
            </w:r>
          </w:p>
        </w:tc>
        <w:tc>
          <w:tcPr>
            <w:tcW w:w="4464" w:type="dxa"/>
            <w:shd w:val="clear" w:color="auto" w:fill="F2F2EF"/>
          </w:tcPr>
          <w:p w14:paraId="056F0C45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249 (+3 documents each re-run through the pipeline twice)</w:t>
            </w:r>
          </w:p>
        </w:tc>
      </w:tr>
      <w:tr w:rsidR="00DC6735" w14:paraId="2C9E841D" w14:textId="77777777">
        <w:trPr>
          <w:jc w:val="center"/>
        </w:trPr>
        <w:tc>
          <w:tcPr>
            <w:tcW w:w="4464" w:type="dxa"/>
            <w:shd w:val="clear" w:color="auto" w:fill="FCFCFB"/>
          </w:tcPr>
          <w:p w14:paraId="1205D44D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Tables per job (</w:t>
            </w:r>
            <w:r>
              <w:rPr>
                <w:rFonts w:ascii="Consolas" w:hAnsi="Consolas"/>
                <w:color w:val="8A2B06"/>
                <w:sz w:val="18"/>
              </w:rPr>
              <w:t>table_count</w:t>
            </w:r>
            <w:r>
              <w:rPr>
                <w:sz w:val="19"/>
              </w:rPr>
              <w:t>) — median / mean / max</w:t>
            </w:r>
          </w:p>
        </w:tc>
        <w:tc>
          <w:tcPr>
            <w:tcW w:w="4464" w:type="dxa"/>
            <w:shd w:val="clear" w:color="auto" w:fill="FCFCFB"/>
          </w:tcPr>
          <w:p w14:paraId="04AE4520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64 / 79.0 / 691</w:t>
            </w:r>
          </w:p>
        </w:tc>
      </w:tr>
      <w:tr w:rsidR="00DC6735" w14:paraId="03963BAB" w14:textId="77777777">
        <w:trPr>
          <w:jc w:val="center"/>
        </w:trPr>
        <w:tc>
          <w:tcPr>
            <w:tcW w:w="4464" w:type="dxa"/>
            <w:shd w:val="clear" w:color="auto" w:fill="F2F2EF"/>
          </w:tcPr>
          <w:p w14:paraId="583F1BCF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Financial tables per job — median / mean / max</w:t>
            </w:r>
          </w:p>
        </w:tc>
        <w:tc>
          <w:tcPr>
            <w:tcW w:w="4464" w:type="dxa"/>
            <w:shd w:val="clear" w:color="auto" w:fill="F2F2EF"/>
          </w:tcPr>
          <w:p w14:paraId="081AB4C9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11.5 / 25.0 / 222</w:t>
            </w:r>
          </w:p>
        </w:tc>
      </w:tr>
    </w:tbl>
    <w:p w14:paraId="357BCEE3" w14:textId="77777777" w:rsidR="00DC6735" w:rsidRDefault="00DC6735">
      <w:pPr>
        <w:spacing w:after="80"/>
        <w:rPr>
          <w:rFonts w:hint="eastAsia"/>
        </w:rPr>
      </w:pPr>
    </w:p>
    <w:p w14:paraId="69BCA40B" w14:textId="77777777" w:rsidR="00DC6735" w:rsidRDefault="00000000">
      <w:pPr>
        <w:spacing w:after="160"/>
        <w:rPr>
          <w:rFonts w:hint="eastAsia"/>
        </w:rPr>
      </w:pPr>
      <w:r>
        <w:t>Every classification job used the same pipeline configuration (</w:t>
      </w:r>
      <w:r>
        <w:rPr>
          <w:rFonts w:ascii="Consolas" w:hAnsi="Consolas"/>
          <w:color w:val="8A2B06"/>
          <w:sz w:val="20"/>
        </w:rPr>
        <w:t>ai_provider: azure</w:t>
      </w:r>
      <w:r>
        <w:t xml:space="preserve">, </w:t>
      </w:r>
      <w:r>
        <w:rPr>
          <w:rFonts w:ascii="Consolas" w:hAnsi="Consolas"/>
          <w:color w:val="8A2B06"/>
          <w:sz w:val="20"/>
        </w:rPr>
        <w:t>classified: true</w:t>
      </w:r>
      <w:r>
        <w:t>). The two non-classification jobs were extraction-only test runs (</w:t>
      </w:r>
      <w:r>
        <w:rPr>
          <w:rFonts w:ascii="Consolas" w:hAnsi="Consolas"/>
          <w:color w:val="8A2B06"/>
          <w:sz w:val="20"/>
        </w:rPr>
        <w:t>classify_table: false</w:t>
      </w:r>
      <w:r>
        <w:t>) against the same QA file and contributed zero labeled tables.</w:t>
      </w:r>
    </w:p>
    <w:p w14:paraId="04EE2213" w14:textId="77777777" w:rsidR="00DC6735" w:rsidRDefault="00000000">
      <w:pPr>
        <w:pStyle w:val="Heading3"/>
        <w:spacing w:before="280" w:after="160"/>
      </w:pPr>
      <w:r>
        <w:rPr>
          <w:color w:val="2A78D6"/>
          <w:sz w:val="25"/>
        </w:rPr>
        <w:lastRenderedPageBreak/>
        <w:t>3.2 Documents by number of labeled financial tables</w:t>
      </w:r>
    </w:p>
    <w:p w14:paraId="3E9DF1D8" w14:textId="77777777" w:rsidR="00DC6735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FE68B77" wp14:editId="0A81242F">
            <wp:extent cx="5760720" cy="45479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20_documents_by_table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47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3B51F" w14:textId="77777777" w:rsidR="00DC6735" w:rsidRDefault="00000000">
      <w:pPr>
        <w:spacing w:after="160"/>
        <w:rPr>
          <w:rFonts w:hint="eastAsia"/>
        </w:rPr>
      </w:pPr>
      <w:r>
        <w:t>The corpus is dominated by long-form annual filings — 20-F filings and full annual reports (Eni, ENI SPA, Lavoro, Energy Company of Minas Gerais, Endesa, MC Group) each contribute 150–222 tables, an order of magnitude more than a typical single-country statutory filing (~10–30 tables).</w:t>
      </w:r>
    </w:p>
    <w:p w14:paraId="4258554E" w14:textId="77777777" w:rsidR="00DC6735" w:rsidRDefault="00000000">
      <w:pPr>
        <w:pStyle w:val="Heading3"/>
        <w:spacing w:before="280" w:after="160"/>
      </w:pPr>
      <w:r>
        <w:rPr>
          <w:color w:val="2A78D6"/>
          <w:sz w:val="25"/>
        </w:rPr>
        <w:lastRenderedPageBreak/>
        <w:t>3.3 Table-count distribution across the corpus</w:t>
      </w:r>
    </w:p>
    <w:p w14:paraId="51CD7284" w14:textId="77777777" w:rsidR="00DC6735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755CB49" wp14:editId="51646970">
            <wp:extent cx="5760720" cy="302437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s_per_document_his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F2258" w14:textId="77777777" w:rsidR="00DC6735" w:rsidRDefault="00000000">
      <w:pPr>
        <w:spacing w:after="160"/>
        <w:rPr>
          <w:rFonts w:hint="eastAsia"/>
        </w:rPr>
      </w:pPr>
      <w:r>
        <w:t>Heavily right-skewed: 62% of documents (156 of 250) contribute fewer than 20 financial tables; a long tail of 12 large multi-jurisdiction filings each contribute 100+.</w:t>
      </w:r>
    </w:p>
    <w:p w14:paraId="46C5757E" w14:textId="77777777" w:rsidR="00DC6735" w:rsidRDefault="00000000">
      <w:pPr>
        <w:pStyle w:val="Heading2"/>
        <w:spacing w:before="280" w:after="160"/>
      </w:pPr>
      <w:r>
        <w:rPr>
          <w:color w:val="0B0B0B"/>
          <w:sz w:val="30"/>
        </w:rPr>
        <w:t>4. From source tables to training set</w:t>
      </w:r>
    </w:p>
    <w:p w14:paraId="20392F5A" w14:textId="77777777" w:rsidR="00DC6735" w:rsidRDefault="00000000">
      <w:pPr>
        <w:shd w:val="clear" w:color="auto" w:fill="F2F2EF"/>
        <w:rPr>
          <w:rFonts w:hint="eastAsia"/>
        </w:rPr>
      </w:pPr>
      <w:r>
        <w:rPr>
          <w:rFonts w:ascii="Consolas" w:hAnsi="Consolas"/>
          <w:color w:val="52514E"/>
          <w:sz w:val="18"/>
        </w:rPr>
        <w:t>Parser output (job dirs)         19,821 tables detected</w:t>
      </w:r>
      <w:r>
        <w:br/>
      </w:r>
      <w:r>
        <w:rPr>
          <w:rFonts w:ascii="Consolas" w:hAnsi="Consolas"/>
          <w:color w:val="52514E"/>
          <w:sz w:val="18"/>
        </w:rPr>
        <w:t xml:space="preserve">    └─ financial-table filter →   6,260 tables classified as financial</w:t>
      </w:r>
      <w:r>
        <w:br/>
      </w:r>
      <w:r>
        <w:rPr>
          <w:rFonts w:ascii="Consolas" w:hAnsi="Consolas"/>
          <w:color w:val="52514E"/>
          <w:sz w:val="18"/>
        </w:rPr>
        <w:t xml:space="preserve">         └─ dataprep_140726.py →  6,289 (prompt, completion) records  → dataset_v16v2_200726.jsonl</w:t>
      </w:r>
      <w:r>
        <w:br/>
      </w:r>
      <w:r>
        <w:rPr>
          <w:rFonts w:ascii="Consolas" w:hAnsi="Consolas"/>
          <w:color w:val="52514E"/>
          <w:sz w:val="18"/>
        </w:rPr>
        <w:t xml:space="preserve">              └─ dataset_clean.py (near-duplicate table_type resolution)</w:t>
      </w:r>
      <w:r>
        <w:br/>
      </w:r>
      <w:r>
        <w:rPr>
          <w:rFonts w:ascii="Consolas" w:hAnsi="Consolas"/>
          <w:color w:val="52514E"/>
          <w:sz w:val="18"/>
        </w:rPr>
        <w:t xml:space="preserve">                   └─ 6,109 records → dataset_v16v2_200726.clean.jsonl   ← used for training</w:t>
      </w:r>
    </w:p>
    <w:p w14:paraId="4CDA5B99" w14:textId="77777777" w:rsidR="00DC6735" w:rsidRDefault="00000000">
      <w:pPr>
        <w:spacing w:after="160"/>
        <w:rPr>
          <w:rFonts w:hint="eastAsia"/>
        </w:rPr>
      </w:pPr>
      <w:r>
        <w:rPr>
          <w:rFonts w:ascii="Consolas" w:hAnsi="Consolas"/>
          <w:color w:val="8A2B06"/>
          <w:sz w:val="20"/>
        </w:rPr>
        <w:t>dataset_clean.py</w:t>
      </w:r>
      <w:r>
        <w:t xml:space="preserve"> resolves cases where the same underlying table appears twice with conflicting </w:t>
      </w:r>
      <w:r>
        <w:rPr>
          <w:rFonts w:ascii="Consolas" w:hAnsi="Consolas"/>
          <w:color w:val="8A2B06"/>
          <w:sz w:val="20"/>
        </w:rPr>
        <w:t>table_type</w:t>
      </w:r>
      <w:r>
        <w:t xml:space="preserve"> labels (e.g. </w:t>
      </w:r>
      <w:r>
        <w:rPr>
          <w:rFonts w:ascii="Consolas" w:hAnsi="Consolas"/>
          <w:color w:val="8A2B06"/>
          <w:sz w:val="20"/>
        </w:rPr>
        <w:t>income tax reconciliation</w:t>
      </w:r>
      <w:r>
        <w:t xml:space="preserve"> vs </w:t>
      </w:r>
      <w:r>
        <w:rPr>
          <w:rFonts w:ascii="Consolas" w:hAnsi="Consolas"/>
          <w:color w:val="8A2B06"/>
          <w:sz w:val="20"/>
        </w:rPr>
        <w:t>IncomeTaxReconciliation</w:t>
      </w:r>
      <w:r>
        <w:t xml:space="preserve">), keeping one side by confidence score. This removed </w:t>
      </w:r>
      <w:r>
        <w:rPr>
          <w:b/>
        </w:rPr>
        <w:t>180 records (2.9%)</w:t>
      </w:r>
      <w:r>
        <w:t xml:space="preserve"> from the raw compiled set. The clean file has a single, consistent completion schema across all 6,109 records: </w:t>
      </w:r>
      <w:r>
        <w:rPr>
          <w:rFonts w:ascii="Consolas" w:hAnsi="Consolas"/>
          <w:color w:val="8A2B06"/>
          <w:sz w:val="20"/>
        </w:rPr>
        <w:t>{table_type, rows, columns, cells}</w:t>
      </w:r>
      <w:r>
        <w:t>.</w:t>
      </w:r>
    </w:p>
    <w:p w14:paraId="6FF8D67E" w14:textId="77777777" w:rsidR="00DC6735" w:rsidRDefault="00000000">
      <w:pPr>
        <w:pStyle w:val="Heading2"/>
        <w:spacing w:before="280" w:after="160"/>
      </w:pPr>
      <w:r>
        <w:rPr>
          <w:color w:val="0B0B0B"/>
          <w:sz w:val="30"/>
        </w:rPr>
        <w:lastRenderedPageBreak/>
        <w:t>5. EDA — clean training dataset (6,109 records)</w:t>
      </w:r>
    </w:p>
    <w:p w14:paraId="38499EC7" w14:textId="77777777" w:rsidR="00DC6735" w:rsidRDefault="00000000">
      <w:pPr>
        <w:pStyle w:val="Heading3"/>
        <w:spacing w:before="280" w:after="160"/>
      </w:pPr>
      <w:r>
        <w:rPr>
          <w:color w:val="2A78D6"/>
          <w:sz w:val="25"/>
        </w:rPr>
        <w:t xml:space="preserve">5.1 </w:t>
      </w:r>
      <w:r>
        <w:rPr>
          <w:rFonts w:ascii="Consolas" w:hAnsi="Consolas"/>
          <w:color w:val="2A78D6"/>
          <w:sz w:val="24"/>
        </w:rPr>
        <w:t>table_type</w:t>
      </w:r>
      <w:r>
        <w:rPr>
          <w:color w:val="2A78D6"/>
          <w:sz w:val="25"/>
        </w:rPr>
        <w:t xml:space="preserve"> label distribution</w:t>
      </w:r>
    </w:p>
    <w:p w14:paraId="7B5D0DA2" w14:textId="77777777" w:rsidR="00DC6735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42DD731" wp14:editId="3DA51CB0">
            <wp:extent cx="5760720" cy="44805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20_table_typ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0FBC9" w14:textId="77777777" w:rsidR="00DC6735" w:rsidRDefault="00000000">
      <w:pPr>
        <w:pStyle w:val="ListBullet"/>
        <w:spacing w:after="80"/>
        <w:rPr>
          <w:rFonts w:hint="eastAsia"/>
        </w:rPr>
      </w:pPr>
      <w:r>
        <w:rPr>
          <w:b/>
        </w:rPr>
        <w:t>2,232 distinct label strings</w:t>
      </w:r>
      <w:r>
        <w:t xml:space="preserve"> across 6,109 records — the taxonomy is effectively open-vocabulary/free-text rather than a fixed enum (the LLM labeler produces both </w:t>
      </w:r>
      <w:r>
        <w:rPr>
          <w:rFonts w:ascii="Consolas" w:hAnsi="Consolas"/>
          <w:color w:val="8A2B06"/>
          <w:sz w:val="20"/>
        </w:rPr>
        <w:t>snake_case</w:t>
      </w:r>
      <w:r>
        <w:t xml:space="preserve"> and human-readable variants, e.g. both </w:t>
      </w:r>
      <w:r>
        <w:rPr>
          <w:rFonts w:ascii="Consolas" w:hAnsi="Consolas"/>
          <w:color w:val="8A2B06"/>
          <w:sz w:val="20"/>
        </w:rPr>
        <w:t>income_statement</w:t>
      </w:r>
      <w:r>
        <w:t xml:space="preserve"> and </w:t>
      </w:r>
      <w:r>
        <w:rPr>
          <w:rFonts w:ascii="Consolas" w:hAnsi="Consolas"/>
          <w:color w:val="8A2B06"/>
          <w:sz w:val="20"/>
        </w:rPr>
        <w:t>income statement</w:t>
      </w:r>
      <w:r>
        <w:t xml:space="preserve"> occur as separate labels).</w:t>
      </w:r>
    </w:p>
    <w:p w14:paraId="41281248" w14:textId="77777777" w:rsidR="00DC6735" w:rsidRDefault="00000000">
      <w:pPr>
        <w:pStyle w:val="ListBullet"/>
        <w:spacing w:after="80"/>
        <w:rPr>
          <w:rFonts w:hint="eastAsia"/>
        </w:rPr>
      </w:pPr>
      <w:r>
        <w:rPr>
          <w:rFonts w:ascii="Consolas" w:hAnsi="Consolas"/>
          <w:color w:val="8A2B06"/>
          <w:sz w:val="20"/>
        </w:rPr>
        <w:t>other</w:t>
      </w:r>
      <w:r>
        <w:t xml:space="preserve"> is the single largest bucket at 388 records (6.4%) — tables the labeler couldn't map to a specific known statement type.</w:t>
      </w:r>
    </w:p>
    <w:p w14:paraId="395219D7" w14:textId="77777777" w:rsidR="00DC6735" w:rsidRDefault="00000000">
      <w:pPr>
        <w:pStyle w:val="ListBullet"/>
        <w:spacing w:after="80"/>
        <w:rPr>
          <w:rFonts w:hint="eastAsia"/>
        </w:rPr>
      </w:pPr>
      <w:r>
        <w:t>Beyond the top ~20, the distribution has a very long tail: most distinct labels occur only 1–3 times, meaning the model sees very few examples for the majority of specific table types it's expected to recognize.</w:t>
      </w:r>
    </w:p>
    <w:p w14:paraId="1DB6241A" w14:textId="77777777" w:rsidR="00DC6735" w:rsidRDefault="00000000">
      <w:pPr>
        <w:pStyle w:val="Heading3"/>
        <w:spacing w:before="280" w:after="160"/>
      </w:pPr>
      <w:r>
        <w:rPr>
          <w:color w:val="2A78D6"/>
          <w:sz w:val="25"/>
        </w:rPr>
        <w:lastRenderedPageBreak/>
        <w:t>5.2 Table shape</w:t>
      </w:r>
    </w:p>
    <w:p w14:paraId="6F93A87F" w14:textId="77777777" w:rsidR="00DC6735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24A5406" wp14:editId="7886139D">
            <wp:extent cx="5760720" cy="219954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_shape_h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9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single" w:sz="4" w:space="0" w:color="D9D8D2"/>
          <w:left w:val="single" w:sz="4" w:space="0" w:color="D9D8D2"/>
          <w:bottom w:val="single" w:sz="4" w:space="0" w:color="D9D8D2"/>
          <w:right w:val="single" w:sz="4" w:space="0" w:color="D9D8D2"/>
          <w:insideH w:val="single" w:sz="4" w:space="0" w:color="D9D8D2"/>
          <w:insideV w:val="single" w:sz="4" w:space="0" w:color="D9D8D2"/>
        </w:tblBorders>
        <w:tblLook w:val="04A0" w:firstRow="1" w:lastRow="0" w:firstColumn="1" w:lastColumn="0" w:noHBand="0" w:noVBand="1"/>
      </w:tblPr>
      <w:tblGrid>
        <w:gridCol w:w="1443"/>
        <w:gridCol w:w="992"/>
        <w:gridCol w:w="992"/>
        <w:gridCol w:w="992"/>
        <w:gridCol w:w="992"/>
        <w:gridCol w:w="992"/>
        <w:gridCol w:w="992"/>
        <w:gridCol w:w="992"/>
        <w:gridCol w:w="992"/>
      </w:tblGrid>
      <w:tr w:rsidR="00DC6735" w14:paraId="3D009E12" w14:textId="77777777">
        <w:trPr>
          <w:jc w:val="center"/>
        </w:trPr>
        <w:tc>
          <w:tcPr>
            <w:tcW w:w="992" w:type="dxa"/>
            <w:shd w:val="clear" w:color="auto" w:fill="2A78D6"/>
          </w:tcPr>
          <w:p w14:paraId="0EB4130A" w14:textId="77777777" w:rsidR="00DC6735" w:rsidRDefault="00DC6735">
            <w:pPr>
              <w:spacing w:after="40"/>
              <w:rPr>
                <w:rFonts w:hint="eastAsia"/>
              </w:rPr>
            </w:pPr>
          </w:p>
        </w:tc>
        <w:tc>
          <w:tcPr>
            <w:tcW w:w="992" w:type="dxa"/>
            <w:shd w:val="clear" w:color="auto" w:fill="2A78D6"/>
          </w:tcPr>
          <w:p w14:paraId="2D4B26B3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min</w:t>
            </w:r>
          </w:p>
        </w:tc>
        <w:tc>
          <w:tcPr>
            <w:tcW w:w="992" w:type="dxa"/>
            <w:shd w:val="clear" w:color="auto" w:fill="2A78D6"/>
          </w:tcPr>
          <w:p w14:paraId="3718601E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p25</w:t>
            </w:r>
          </w:p>
        </w:tc>
        <w:tc>
          <w:tcPr>
            <w:tcW w:w="992" w:type="dxa"/>
            <w:shd w:val="clear" w:color="auto" w:fill="2A78D6"/>
          </w:tcPr>
          <w:p w14:paraId="3D2C367D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median</w:t>
            </w:r>
          </w:p>
        </w:tc>
        <w:tc>
          <w:tcPr>
            <w:tcW w:w="992" w:type="dxa"/>
            <w:shd w:val="clear" w:color="auto" w:fill="2A78D6"/>
          </w:tcPr>
          <w:p w14:paraId="64334036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mean</w:t>
            </w:r>
          </w:p>
        </w:tc>
        <w:tc>
          <w:tcPr>
            <w:tcW w:w="992" w:type="dxa"/>
            <w:shd w:val="clear" w:color="auto" w:fill="2A78D6"/>
          </w:tcPr>
          <w:p w14:paraId="1D33398D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p75</w:t>
            </w:r>
          </w:p>
        </w:tc>
        <w:tc>
          <w:tcPr>
            <w:tcW w:w="992" w:type="dxa"/>
            <w:shd w:val="clear" w:color="auto" w:fill="2A78D6"/>
          </w:tcPr>
          <w:p w14:paraId="51339935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p90</w:t>
            </w:r>
          </w:p>
        </w:tc>
        <w:tc>
          <w:tcPr>
            <w:tcW w:w="992" w:type="dxa"/>
            <w:shd w:val="clear" w:color="auto" w:fill="2A78D6"/>
          </w:tcPr>
          <w:p w14:paraId="43896EEE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p99</w:t>
            </w:r>
          </w:p>
        </w:tc>
        <w:tc>
          <w:tcPr>
            <w:tcW w:w="992" w:type="dxa"/>
            <w:shd w:val="clear" w:color="auto" w:fill="2A78D6"/>
          </w:tcPr>
          <w:p w14:paraId="0A7170CA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max</w:t>
            </w:r>
          </w:p>
        </w:tc>
      </w:tr>
      <w:tr w:rsidR="00DC6735" w14:paraId="7BEF5E92" w14:textId="77777777">
        <w:trPr>
          <w:jc w:val="center"/>
        </w:trPr>
        <w:tc>
          <w:tcPr>
            <w:tcW w:w="992" w:type="dxa"/>
            <w:shd w:val="clear" w:color="auto" w:fill="FCFCFB"/>
          </w:tcPr>
          <w:p w14:paraId="5BBCE437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Rows/table</w:t>
            </w:r>
          </w:p>
        </w:tc>
        <w:tc>
          <w:tcPr>
            <w:tcW w:w="992" w:type="dxa"/>
            <w:shd w:val="clear" w:color="auto" w:fill="FCFCFB"/>
          </w:tcPr>
          <w:p w14:paraId="788BFD59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992" w:type="dxa"/>
            <w:shd w:val="clear" w:color="auto" w:fill="FCFCFB"/>
          </w:tcPr>
          <w:p w14:paraId="2D834AB3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6</w:t>
            </w:r>
          </w:p>
        </w:tc>
        <w:tc>
          <w:tcPr>
            <w:tcW w:w="992" w:type="dxa"/>
            <w:shd w:val="clear" w:color="auto" w:fill="FCFCFB"/>
          </w:tcPr>
          <w:p w14:paraId="20D5892D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11</w:t>
            </w:r>
          </w:p>
        </w:tc>
        <w:tc>
          <w:tcPr>
            <w:tcW w:w="992" w:type="dxa"/>
            <w:shd w:val="clear" w:color="auto" w:fill="FCFCFB"/>
          </w:tcPr>
          <w:p w14:paraId="3AFC3626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14.4</w:t>
            </w:r>
          </w:p>
        </w:tc>
        <w:tc>
          <w:tcPr>
            <w:tcW w:w="992" w:type="dxa"/>
            <w:shd w:val="clear" w:color="auto" w:fill="FCFCFB"/>
          </w:tcPr>
          <w:p w14:paraId="78B62F7C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20</w:t>
            </w:r>
          </w:p>
        </w:tc>
        <w:tc>
          <w:tcPr>
            <w:tcW w:w="992" w:type="dxa"/>
            <w:shd w:val="clear" w:color="auto" w:fill="FCFCFB"/>
          </w:tcPr>
          <w:p w14:paraId="0048A688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30</w:t>
            </w:r>
          </w:p>
        </w:tc>
        <w:tc>
          <w:tcPr>
            <w:tcW w:w="992" w:type="dxa"/>
            <w:shd w:val="clear" w:color="auto" w:fill="FCFCFB"/>
          </w:tcPr>
          <w:p w14:paraId="7E2953E5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50</w:t>
            </w:r>
          </w:p>
        </w:tc>
        <w:tc>
          <w:tcPr>
            <w:tcW w:w="992" w:type="dxa"/>
            <w:shd w:val="clear" w:color="auto" w:fill="FCFCFB"/>
          </w:tcPr>
          <w:p w14:paraId="128463A5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104</w:t>
            </w:r>
          </w:p>
        </w:tc>
      </w:tr>
      <w:tr w:rsidR="00DC6735" w14:paraId="1907ED3F" w14:textId="77777777">
        <w:trPr>
          <w:jc w:val="center"/>
        </w:trPr>
        <w:tc>
          <w:tcPr>
            <w:tcW w:w="992" w:type="dxa"/>
            <w:shd w:val="clear" w:color="auto" w:fill="F2F2EF"/>
          </w:tcPr>
          <w:p w14:paraId="290BF8A2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Columns/table</w:t>
            </w:r>
          </w:p>
        </w:tc>
        <w:tc>
          <w:tcPr>
            <w:tcW w:w="992" w:type="dxa"/>
            <w:shd w:val="clear" w:color="auto" w:fill="F2F2EF"/>
          </w:tcPr>
          <w:p w14:paraId="4B4E206A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992" w:type="dxa"/>
            <w:shd w:val="clear" w:color="auto" w:fill="F2F2EF"/>
          </w:tcPr>
          <w:p w14:paraId="0F3E59E1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3</w:t>
            </w:r>
          </w:p>
        </w:tc>
        <w:tc>
          <w:tcPr>
            <w:tcW w:w="992" w:type="dxa"/>
            <w:shd w:val="clear" w:color="auto" w:fill="F2F2EF"/>
          </w:tcPr>
          <w:p w14:paraId="660AB845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4</w:t>
            </w:r>
          </w:p>
        </w:tc>
        <w:tc>
          <w:tcPr>
            <w:tcW w:w="992" w:type="dxa"/>
            <w:shd w:val="clear" w:color="auto" w:fill="F2F2EF"/>
          </w:tcPr>
          <w:p w14:paraId="444C1D5C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4.9</w:t>
            </w:r>
          </w:p>
        </w:tc>
        <w:tc>
          <w:tcPr>
            <w:tcW w:w="992" w:type="dxa"/>
            <w:shd w:val="clear" w:color="auto" w:fill="F2F2EF"/>
          </w:tcPr>
          <w:p w14:paraId="370F3AA6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6</w:t>
            </w:r>
          </w:p>
        </w:tc>
        <w:tc>
          <w:tcPr>
            <w:tcW w:w="992" w:type="dxa"/>
            <w:shd w:val="clear" w:color="auto" w:fill="F2F2EF"/>
          </w:tcPr>
          <w:p w14:paraId="5E49BF2E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8</w:t>
            </w:r>
          </w:p>
        </w:tc>
        <w:tc>
          <w:tcPr>
            <w:tcW w:w="992" w:type="dxa"/>
            <w:shd w:val="clear" w:color="auto" w:fill="F2F2EF"/>
          </w:tcPr>
          <w:p w14:paraId="4E382F7C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16</w:t>
            </w:r>
          </w:p>
        </w:tc>
        <w:tc>
          <w:tcPr>
            <w:tcW w:w="992" w:type="dxa"/>
            <w:shd w:val="clear" w:color="auto" w:fill="F2F2EF"/>
          </w:tcPr>
          <w:p w14:paraId="5C8297D7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37</w:t>
            </w:r>
          </w:p>
        </w:tc>
      </w:tr>
      <w:tr w:rsidR="00DC6735" w14:paraId="62DD4E36" w14:textId="77777777">
        <w:trPr>
          <w:jc w:val="center"/>
        </w:trPr>
        <w:tc>
          <w:tcPr>
            <w:tcW w:w="992" w:type="dxa"/>
            <w:shd w:val="clear" w:color="auto" w:fill="FCFCFB"/>
          </w:tcPr>
          <w:p w14:paraId="60255111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Cells/table</w:t>
            </w:r>
          </w:p>
        </w:tc>
        <w:tc>
          <w:tcPr>
            <w:tcW w:w="992" w:type="dxa"/>
            <w:shd w:val="clear" w:color="auto" w:fill="FCFCFB"/>
          </w:tcPr>
          <w:p w14:paraId="12A3E873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992" w:type="dxa"/>
            <w:shd w:val="clear" w:color="auto" w:fill="FCFCFB"/>
          </w:tcPr>
          <w:p w14:paraId="35192D24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12</w:t>
            </w:r>
          </w:p>
        </w:tc>
        <w:tc>
          <w:tcPr>
            <w:tcW w:w="992" w:type="dxa"/>
            <w:shd w:val="clear" w:color="auto" w:fill="FCFCFB"/>
          </w:tcPr>
          <w:p w14:paraId="21E57BBF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24</w:t>
            </w:r>
          </w:p>
        </w:tc>
        <w:tc>
          <w:tcPr>
            <w:tcW w:w="992" w:type="dxa"/>
            <w:shd w:val="clear" w:color="auto" w:fill="FCFCFB"/>
          </w:tcPr>
          <w:p w14:paraId="7BC914AB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35.0</w:t>
            </w:r>
          </w:p>
        </w:tc>
        <w:tc>
          <w:tcPr>
            <w:tcW w:w="992" w:type="dxa"/>
            <w:shd w:val="clear" w:color="auto" w:fill="FCFCFB"/>
          </w:tcPr>
          <w:p w14:paraId="6C2ACC7E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47</w:t>
            </w:r>
          </w:p>
        </w:tc>
        <w:tc>
          <w:tcPr>
            <w:tcW w:w="992" w:type="dxa"/>
            <w:shd w:val="clear" w:color="auto" w:fill="FCFCFB"/>
          </w:tcPr>
          <w:p w14:paraId="40F3FF06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82</w:t>
            </w:r>
          </w:p>
        </w:tc>
        <w:tc>
          <w:tcPr>
            <w:tcW w:w="992" w:type="dxa"/>
            <w:shd w:val="clear" w:color="auto" w:fill="FCFCFB"/>
          </w:tcPr>
          <w:p w14:paraId="6B8B6FC1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156</w:t>
            </w:r>
          </w:p>
        </w:tc>
        <w:tc>
          <w:tcPr>
            <w:tcW w:w="992" w:type="dxa"/>
            <w:shd w:val="clear" w:color="auto" w:fill="FCFCFB"/>
          </w:tcPr>
          <w:p w14:paraId="5F4B3280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285</w:t>
            </w:r>
          </w:p>
        </w:tc>
      </w:tr>
    </w:tbl>
    <w:p w14:paraId="5F0E552B" w14:textId="77777777" w:rsidR="00DC6735" w:rsidRDefault="00DC6735">
      <w:pPr>
        <w:spacing w:after="80"/>
        <w:rPr>
          <w:rFonts w:hint="eastAsia"/>
        </w:rPr>
      </w:pPr>
    </w:p>
    <w:p w14:paraId="43E62D82" w14:textId="77777777" w:rsidR="00DC6735" w:rsidRDefault="00000000">
      <w:pPr>
        <w:spacing w:after="160"/>
        <w:rPr>
          <w:rFonts w:hint="eastAsia"/>
        </w:rPr>
      </w:pPr>
      <w:r>
        <w:t>Tables are typically small (median 11×4 = 44 cells), but a long tail of wide/tall tables (segment breakdowns, multi-period rollforwards) reaches into the hundreds of cells — these drive the completion-length tail in §5.4.</w:t>
      </w:r>
    </w:p>
    <w:p w14:paraId="706CBABA" w14:textId="77777777" w:rsidR="00DC6735" w:rsidRDefault="00000000">
      <w:pPr>
        <w:pStyle w:val="Heading3"/>
        <w:spacing w:before="280" w:after="160"/>
      </w:pPr>
      <w:r>
        <w:rPr>
          <w:color w:val="2A78D6"/>
          <w:sz w:val="25"/>
        </w:rPr>
        <w:t>5.3 Row and column semantic composition</w:t>
      </w:r>
    </w:p>
    <w:p w14:paraId="16445DFF" w14:textId="77777777" w:rsidR="00DC6735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AAB5909" wp14:editId="2A838783">
            <wp:extent cx="5760720" cy="230428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w_type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6ACD1" w14:textId="77777777" w:rsidR="00DC6735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2F26CE2" wp14:editId="7947C7BB">
            <wp:extent cx="5760720" cy="36004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lumn_type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0BC12" w14:textId="77777777" w:rsidR="00DC6735" w:rsidRDefault="00000000">
      <w:pPr>
        <w:spacing w:after="160"/>
        <w:rPr>
          <w:rFonts w:hint="eastAsia"/>
        </w:rPr>
      </w:pPr>
      <w:r>
        <w:t>Across all 6,109 tables, labeled rows total ~88,150 and columns ~30,083:</w:t>
      </w:r>
    </w:p>
    <w:tbl>
      <w:tblPr>
        <w:tblW w:w="0" w:type="auto"/>
        <w:jc w:val="center"/>
        <w:tblBorders>
          <w:top w:val="single" w:sz="4" w:space="0" w:color="D9D8D2"/>
          <w:left w:val="single" w:sz="4" w:space="0" w:color="D9D8D2"/>
          <w:bottom w:val="single" w:sz="4" w:space="0" w:color="D9D8D2"/>
          <w:right w:val="single" w:sz="4" w:space="0" w:color="D9D8D2"/>
          <w:insideH w:val="single" w:sz="4" w:space="0" w:color="D9D8D2"/>
          <w:insideV w:val="single" w:sz="4" w:space="0" w:color="D9D8D2"/>
        </w:tblBorders>
        <w:tblLook w:val="04A0" w:firstRow="1" w:lastRow="0" w:firstColumn="1" w:lastColumn="0" w:noHBand="0" w:noVBand="1"/>
      </w:tblPr>
      <w:tblGrid>
        <w:gridCol w:w="2976"/>
        <w:gridCol w:w="2976"/>
        <w:gridCol w:w="2976"/>
      </w:tblGrid>
      <w:tr w:rsidR="00DC6735" w14:paraId="33D11EB6" w14:textId="77777777">
        <w:trPr>
          <w:jc w:val="center"/>
        </w:trPr>
        <w:tc>
          <w:tcPr>
            <w:tcW w:w="2976" w:type="dxa"/>
            <w:shd w:val="clear" w:color="auto" w:fill="2A78D6"/>
          </w:tcPr>
          <w:p w14:paraId="542BD8D4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Row type</w:t>
            </w:r>
          </w:p>
        </w:tc>
        <w:tc>
          <w:tcPr>
            <w:tcW w:w="2976" w:type="dxa"/>
            <w:shd w:val="clear" w:color="auto" w:fill="2A78D6"/>
          </w:tcPr>
          <w:p w14:paraId="312A1223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Count</w:t>
            </w:r>
          </w:p>
        </w:tc>
        <w:tc>
          <w:tcPr>
            <w:tcW w:w="2976" w:type="dxa"/>
            <w:shd w:val="clear" w:color="auto" w:fill="2A78D6"/>
          </w:tcPr>
          <w:p w14:paraId="36068961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Share</w:t>
            </w:r>
          </w:p>
        </w:tc>
      </w:tr>
      <w:tr w:rsidR="00DC6735" w14:paraId="452CE9E7" w14:textId="77777777">
        <w:trPr>
          <w:jc w:val="center"/>
        </w:trPr>
        <w:tc>
          <w:tcPr>
            <w:tcW w:w="2976" w:type="dxa"/>
            <w:shd w:val="clear" w:color="auto" w:fill="FCFCFB"/>
          </w:tcPr>
          <w:p w14:paraId="7894091A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rFonts w:ascii="Consolas" w:hAnsi="Consolas"/>
                <w:color w:val="8A2B06"/>
                <w:sz w:val="18"/>
              </w:rPr>
              <w:t>data</w:t>
            </w:r>
          </w:p>
        </w:tc>
        <w:tc>
          <w:tcPr>
            <w:tcW w:w="2976" w:type="dxa"/>
            <w:shd w:val="clear" w:color="auto" w:fill="FCFCFB"/>
          </w:tcPr>
          <w:p w14:paraId="622E143E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54,005</w:t>
            </w:r>
          </w:p>
        </w:tc>
        <w:tc>
          <w:tcPr>
            <w:tcW w:w="2976" w:type="dxa"/>
            <w:shd w:val="clear" w:color="auto" w:fill="FCFCFB"/>
          </w:tcPr>
          <w:p w14:paraId="1CCB7AA6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61.3%</w:t>
            </w:r>
          </w:p>
        </w:tc>
      </w:tr>
      <w:tr w:rsidR="00DC6735" w14:paraId="73FDA445" w14:textId="77777777">
        <w:trPr>
          <w:jc w:val="center"/>
        </w:trPr>
        <w:tc>
          <w:tcPr>
            <w:tcW w:w="2976" w:type="dxa"/>
            <w:shd w:val="clear" w:color="auto" w:fill="F2F2EF"/>
          </w:tcPr>
          <w:p w14:paraId="67161437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rFonts w:ascii="Consolas" w:hAnsi="Consolas"/>
                <w:color w:val="8A2B06"/>
                <w:sz w:val="18"/>
              </w:rPr>
              <w:t>row_header</w:t>
            </w:r>
          </w:p>
        </w:tc>
        <w:tc>
          <w:tcPr>
            <w:tcW w:w="2976" w:type="dxa"/>
            <w:shd w:val="clear" w:color="auto" w:fill="F2F2EF"/>
          </w:tcPr>
          <w:p w14:paraId="55125EE4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23,282</w:t>
            </w:r>
          </w:p>
        </w:tc>
        <w:tc>
          <w:tcPr>
            <w:tcW w:w="2976" w:type="dxa"/>
            <w:shd w:val="clear" w:color="auto" w:fill="F2F2EF"/>
          </w:tcPr>
          <w:p w14:paraId="3CCF33A9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26.4%</w:t>
            </w:r>
          </w:p>
        </w:tc>
      </w:tr>
      <w:tr w:rsidR="00DC6735" w14:paraId="15EBCFFB" w14:textId="77777777">
        <w:trPr>
          <w:jc w:val="center"/>
        </w:trPr>
        <w:tc>
          <w:tcPr>
            <w:tcW w:w="2976" w:type="dxa"/>
            <w:shd w:val="clear" w:color="auto" w:fill="FCFCFB"/>
          </w:tcPr>
          <w:p w14:paraId="6493EF03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rFonts w:ascii="Consolas" w:hAnsi="Consolas"/>
                <w:color w:val="8A2B06"/>
                <w:sz w:val="18"/>
              </w:rPr>
              <w:t>total</w:t>
            </w:r>
          </w:p>
        </w:tc>
        <w:tc>
          <w:tcPr>
            <w:tcW w:w="2976" w:type="dxa"/>
            <w:shd w:val="clear" w:color="auto" w:fill="FCFCFB"/>
          </w:tcPr>
          <w:p w14:paraId="1A454159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5,833</w:t>
            </w:r>
          </w:p>
        </w:tc>
        <w:tc>
          <w:tcPr>
            <w:tcW w:w="2976" w:type="dxa"/>
            <w:shd w:val="clear" w:color="auto" w:fill="FCFCFB"/>
          </w:tcPr>
          <w:p w14:paraId="6DE8C573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6.6%</w:t>
            </w:r>
          </w:p>
        </w:tc>
      </w:tr>
      <w:tr w:rsidR="00DC6735" w14:paraId="169D9B95" w14:textId="77777777">
        <w:trPr>
          <w:jc w:val="center"/>
        </w:trPr>
        <w:tc>
          <w:tcPr>
            <w:tcW w:w="2976" w:type="dxa"/>
            <w:shd w:val="clear" w:color="auto" w:fill="F2F2EF"/>
          </w:tcPr>
          <w:p w14:paraId="129685C3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rFonts w:ascii="Consolas" w:hAnsi="Consolas"/>
                <w:color w:val="8A2B06"/>
                <w:sz w:val="18"/>
              </w:rPr>
              <w:t>subtotal</w:t>
            </w:r>
          </w:p>
        </w:tc>
        <w:tc>
          <w:tcPr>
            <w:tcW w:w="2976" w:type="dxa"/>
            <w:shd w:val="clear" w:color="auto" w:fill="F2F2EF"/>
          </w:tcPr>
          <w:p w14:paraId="33963872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4,153</w:t>
            </w:r>
          </w:p>
        </w:tc>
        <w:tc>
          <w:tcPr>
            <w:tcW w:w="2976" w:type="dxa"/>
            <w:shd w:val="clear" w:color="auto" w:fill="F2F2EF"/>
          </w:tcPr>
          <w:p w14:paraId="25004681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4.7%</w:t>
            </w:r>
          </w:p>
        </w:tc>
      </w:tr>
      <w:tr w:rsidR="00DC6735" w14:paraId="6E210B30" w14:textId="77777777">
        <w:trPr>
          <w:jc w:val="center"/>
        </w:trPr>
        <w:tc>
          <w:tcPr>
            <w:tcW w:w="2976" w:type="dxa"/>
            <w:shd w:val="clear" w:color="auto" w:fill="FCFCFB"/>
          </w:tcPr>
          <w:p w14:paraId="37665901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rFonts w:ascii="Consolas" w:hAnsi="Consolas"/>
                <w:color w:val="8A2B06"/>
                <w:sz w:val="18"/>
              </w:rPr>
              <w:t>grand_total</w:t>
            </w:r>
          </w:p>
        </w:tc>
        <w:tc>
          <w:tcPr>
            <w:tcW w:w="2976" w:type="dxa"/>
            <w:shd w:val="clear" w:color="auto" w:fill="FCFCFB"/>
          </w:tcPr>
          <w:p w14:paraId="6C7145D7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876</w:t>
            </w:r>
          </w:p>
        </w:tc>
        <w:tc>
          <w:tcPr>
            <w:tcW w:w="2976" w:type="dxa"/>
            <w:shd w:val="clear" w:color="auto" w:fill="FCFCFB"/>
          </w:tcPr>
          <w:p w14:paraId="50913813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1.0%</w:t>
            </w:r>
          </w:p>
        </w:tc>
      </w:tr>
      <w:tr w:rsidR="00DC6735" w14:paraId="03259209" w14:textId="77777777">
        <w:trPr>
          <w:jc w:val="center"/>
        </w:trPr>
        <w:tc>
          <w:tcPr>
            <w:tcW w:w="2976" w:type="dxa"/>
            <w:shd w:val="clear" w:color="auto" w:fill="F2F2EF"/>
          </w:tcPr>
          <w:p w14:paraId="04B72BEC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rFonts w:ascii="Consolas" w:hAnsi="Consolas"/>
                <w:color w:val="8A2B06"/>
                <w:sz w:val="18"/>
              </w:rPr>
              <w:t>change</w:t>
            </w:r>
          </w:p>
        </w:tc>
        <w:tc>
          <w:tcPr>
            <w:tcW w:w="2976" w:type="dxa"/>
            <w:shd w:val="clear" w:color="auto" w:fill="F2F2EF"/>
          </w:tcPr>
          <w:p w14:paraId="021CBD67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5</w:t>
            </w:r>
          </w:p>
        </w:tc>
        <w:tc>
          <w:tcPr>
            <w:tcW w:w="2976" w:type="dxa"/>
            <w:shd w:val="clear" w:color="auto" w:fill="F2F2EF"/>
          </w:tcPr>
          <w:p w14:paraId="239AC288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&lt;0.1%</w:t>
            </w:r>
          </w:p>
        </w:tc>
      </w:tr>
    </w:tbl>
    <w:p w14:paraId="53601758" w14:textId="77777777" w:rsidR="00DC6735" w:rsidRDefault="00DC6735">
      <w:pPr>
        <w:spacing w:after="80"/>
        <w:rPr>
          <w:rFonts w:hint="eastAsia"/>
        </w:rPr>
      </w:pPr>
    </w:p>
    <w:tbl>
      <w:tblPr>
        <w:tblW w:w="0" w:type="auto"/>
        <w:jc w:val="center"/>
        <w:tblBorders>
          <w:top w:val="single" w:sz="4" w:space="0" w:color="D9D8D2"/>
          <w:left w:val="single" w:sz="4" w:space="0" w:color="D9D8D2"/>
          <w:bottom w:val="single" w:sz="4" w:space="0" w:color="D9D8D2"/>
          <w:right w:val="single" w:sz="4" w:space="0" w:color="D9D8D2"/>
          <w:insideH w:val="single" w:sz="4" w:space="0" w:color="D9D8D2"/>
          <w:insideV w:val="single" w:sz="4" w:space="0" w:color="D9D8D2"/>
        </w:tblBorders>
        <w:tblLook w:val="04A0" w:firstRow="1" w:lastRow="0" w:firstColumn="1" w:lastColumn="0" w:noHBand="0" w:noVBand="1"/>
      </w:tblPr>
      <w:tblGrid>
        <w:gridCol w:w="2976"/>
        <w:gridCol w:w="2976"/>
        <w:gridCol w:w="2976"/>
      </w:tblGrid>
      <w:tr w:rsidR="00DC6735" w14:paraId="6DC57104" w14:textId="77777777">
        <w:trPr>
          <w:jc w:val="center"/>
        </w:trPr>
        <w:tc>
          <w:tcPr>
            <w:tcW w:w="2976" w:type="dxa"/>
            <w:shd w:val="clear" w:color="auto" w:fill="2A78D6"/>
          </w:tcPr>
          <w:p w14:paraId="286C6E07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Column type</w:t>
            </w:r>
          </w:p>
        </w:tc>
        <w:tc>
          <w:tcPr>
            <w:tcW w:w="2976" w:type="dxa"/>
            <w:shd w:val="clear" w:color="auto" w:fill="2A78D6"/>
          </w:tcPr>
          <w:p w14:paraId="62C5D1F7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Count</w:t>
            </w:r>
          </w:p>
        </w:tc>
        <w:tc>
          <w:tcPr>
            <w:tcW w:w="2976" w:type="dxa"/>
            <w:shd w:val="clear" w:color="auto" w:fill="2A78D6"/>
          </w:tcPr>
          <w:p w14:paraId="5A14DF40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Share</w:t>
            </w:r>
          </w:p>
        </w:tc>
      </w:tr>
      <w:tr w:rsidR="00DC6735" w14:paraId="4521423D" w14:textId="77777777">
        <w:trPr>
          <w:jc w:val="center"/>
        </w:trPr>
        <w:tc>
          <w:tcPr>
            <w:tcW w:w="2976" w:type="dxa"/>
            <w:shd w:val="clear" w:color="auto" w:fill="FCFCFB"/>
          </w:tcPr>
          <w:p w14:paraId="4A8D8D54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rFonts w:ascii="Consolas" w:hAnsi="Consolas"/>
                <w:color w:val="8A2B06"/>
                <w:sz w:val="18"/>
              </w:rPr>
              <w:t>period_data</w:t>
            </w:r>
          </w:p>
        </w:tc>
        <w:tc>
          <w:tcPr>
            <w:tcW w:w="2976" w:type="dxa"/>
            <w:shd w:val="clear" w:color="auto" w:fill="FCFCFB"/>
          </w:tcPr>
          <w:p w14:paraId="3373B87E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18,511</w:t>
            </w:r>
          </w:p>
        </w:tc>
        <w:tc>
          <w:tcPr>
            <w:tcW w:w="2976" w:type="dxa"/>
            <w:shd w:val="clear" w:color="auto" w:fill="FCFCFB"/>
          </w:tcPr>
          <w:p w14:paraId="79797F9A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61.5%</w:t>
            </w:r>
          </w:p>
        </w:tc>
      </w:tr>
      <w:tr w:rsidR="00DC6735" w14:paraId="4DAB7189" w14:textId="77777777">
        <w:trPr>
          <w:jc w:val="center"/>
        </w:trPr>
        <w:tc>
          <w:tcPr>
            <w:tcW w:w="2976" w:type="dxa"/>
            <w:shd w:val="clear" w:color="auto" w:fill="F2F2EF"/>
          </w:tcPr>
          <w:p w14:paraId="27F6EB6A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rFonts w:ascii="Consolas" w:hAnsi="Consolas"/>
                <w:color w:val="8A2B06"/>
                <w:sz w:val="18"/>
              </w:rPr>
              <w:t>label</w:t>
            </w:r>
          </w:p>
        </w:tc>
        <w:tc>
          <w:tcPr>
            <w:tcW w:w="2976" w:type="dxa"/>
            <w:shd w:val="clear" w:color="auto" w:fill="F2F2EF"/>
          </w:tcPr>
          <w:p w14:paraId="46B1FF66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8,991</w:t>
            </w:r>
          </w:p>
        </w:tc>
        <w:tc>
          <w:tcPr>
            <w:tcW w:w="2976" w:type="dxa"/>
            <w:shd w:val="clear" w:color="auto" w:fill="F2F2EF"/>
          </w:tcPr>
          <w:p w14:paraId="359FC73E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29.9%</w:t>
            </w:r>
          </w:p>
        </w:tc>
      </w:tr>
      <w:tr w:rsidR="00DC6735" w14:paraId="15710A54" w14:textId="77777777">
        <w:trPr>
          <w:jc w:val="center"/>
        </w:trPr>
        <w:tc>
          <w:tcPr>
            <w:tcW w:w="2976" w:type="dxa"/>
            <w:shd w:val="clear" w:color="auto" w:fill="FCFCFB"/>
          </w:tcPr>
          <w:p w14:paraId="452F70B5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rFonts w:ascii="Consolas" w:hAnsi="Consolas"/>
                <w:color w:val="8A2B06"/>
                <w:sz w:val="18"/>
              </w:rPr>
              <w:t>total</w:t>
            </w:r>
          </w:p>
        </w:tc>
        <w:tc>
          <w:tcPr>
            <w:tcW w:w="2976" w:type="dxa"/>
            <w:shd w:val="clear" w:color="auto" w:fill="FCFCFB"/>
          </w:tcPr>
          <w:p w14:paraId="4803A4B9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1,119</w:t>
            </w:r>
          </w:p>
        </w:tc>
        <w:tc>
          <w:tcPr>
            <w:tcW w:w="2976" w:type="dxa"/>
            <w:shd w:val="clear" w:color="auto" w:fill="FCFCFB"/>
          </w:tcPr>
          <w:p w14:paraId="4ED3264C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3.7%</w:t>
            </w:r>
          </w:p>
        </w:tc>
      </w:tr>
      <w:tr w:rsidR="00DC6735" w14:paraId="29AD4E20" w14:textId="77777777">
        <w:trPr>
          <w:jc w:val="center"/>
        </w:trPr>
        <w:tc>
          <w:tcPr>
            <w:tcW w:w="2976" w:type="dxa"/>
            <w:shd w:val="clear" w:color="auto" w:fill="F2F2EF"/>
          </w:tcPr>
          <w:p w14:paraId="2CA5EE64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rFonts w:ascii="Consolas" w:hAnsi="Consolas"/>
                <w:color w:val="8A2B06"/>
                <w:sz w:val="18"/>
              </w:rPr>
              <w:t>note_ref</w:t>
            </w:r>
          </w:p>
        </w:tc>
        <w:tc>
          <w:tcPr>
            <w:tcW w:w="2976" w:type="dxa"/>
            <w:shd w:val="clear" w:color="auto" w:fill="F2F2EF"/>
          </w:tcPr>
          <w:p w14:paraId="74B73CCE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820</w:t>
            </w:r>
          </w:p>
        </w:tc>
        <w:tc>
          <w:tcPr>
            <w:tcW w:w="2976" w:type="dxa"/>
            <w:shd w:val="clear" w:color="auto" w:fill="F2F2EF"/>
          </w:tcPr>
          <w:p w14:paraId="34A499CE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2.7%</w:t>
            </w:r>
          </w:p>
        </w:tc>
      </w:tr>
      <w:tr w:rsidR="00DC6735" w14:paraId="4CF94018" w14:textId="77777777">
        <w:trPr>
          <w:jc w:val="center"/>
        </w:trPr>
        <w:tc>
          <w:tcPr>
            <w:tcW w:w="2976" w:type="dxa"/>
            <w:shd w:val="clear" w:color="auto" w:fill="FCFCFB"/>
          </w:tcPr>
          <w:p w14:paraId="789AF6BE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rFonts w:ascii="Consolas" w:hAnsi="Consolas"/>
                <w:color w:val="8A2B06"/>
                <w:sz w:val="18"/>
              </w:rPr>
              <w:t>change</w:t>
            </w:r>
          </w:p>
        </w:tc>
        <w:tc>
          <w:tcPr>
            <w:tcW w:w="2976" w:type="dxa"/>
            <w:shd w:val="clear" w:color="auto" w:fill="FCFCFB"/>
          </w:tcPr>
          <w:p w14:paraId="6BF8BE0C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441</w:t>
            </w:r>
          </w:p>
        </w:tc>
        <w:tc>
          <w:tcPr>
            <w:tcW w:w="2976" w:type="dxa"/>
            <w:shd w:val="clear" w:color="auto" w:fill="FCFCFB"/>
          </w:tcPr>
          <w:p w14:paraId="409FC945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1.5%</w:t>
            </w:r>
          </w:p>
        </w:tc>
      </w:tr>
      <w:tr w:rsidR="00DC6735" w14:paraId="32EC134A" w14:textId="77777777">
        <w:trPr>
          <w:jc w:val="center"/>
        </w:trPr>
        <w:tc>
          <w:tcPr>
            <w:tcW w:w="2976" w:type="dxa"/>
            <w:shd w:val="clear" w:color="auto" w:fill="F2F2EF"/>
          </w:tcPr>
          <w:p w14:paraId="111CC55E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rFonts w:ascii="Consolas" w:hAnsi="Consolas"/>
                <w:color w:val="8A2B06"/>
                <w:sz w:val="18"/>
              </w:rPr>
              <w:t>grand_total</w:t>
            </w:r>
          </w:p>
        </w:tc>
        <w:tc>
          <w:tcPr>
            <w:tcW w:w="2976" w:type="dxa"/>
            <w:shd w:val="clear" w:color="auto" w:fill="F2F2EF"/>
          </w:tcPr>
          <w:p w14:paraId="17CC692A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166</w:t>
            </w:r>
          </w:p>
        </w:tc>
        <w:tc>
          <w:tcPr>
            <w:tcW w:w="2976" w:type="dxa"/>
            <w:shd w:val="clear" w:color="auto" w:fill="F2F2EF"/>
          </w:tcPr>
          <w:p w14:paraId="17EB24B6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0.6%</w:t>
            </w:r>
          </w:p>
        </w:tc>
      </w:tr>
      <w:tr w:rsidR="00DC6735" w14:paraId="63437FD5" w14:textId="77777777">
        <w:trPr>
          <w:jc w:val="center"/>
        </w:trPr>
        <w:tc>
          <w:tcPr>
            <w:tcW w:w="2976" w:type="dxa"/>
            <w:shd w:val="clear" w:color="auto" w:fill="FCFCFB"/>
          </w:tcPr>
          <w:p w14:paraId="25ACC810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rFonts w:ascii="Consolas" w:hAnsi="Consolas"/>
                <w:color w:val="8A2B06"/>
                <w:sz w:val="18"/>
              </w:rPr>
              <w:t>subtotal</w:t>
            </w:r>
          </w:p>
        </w:tc>
        <w:tc>
          <w:tcPr>
            <w:tcW w:w="2976" w:type="dxa"/>
            <w:shd w:val="clear" w:color="auto" w:fill="FCFCFB"/>
          </w:tcPr>
          <w:p w14:paraId="7083E0E8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35</w:t>
            </w:r>
          </w:p>
        </w:tc>
        <w:tc>
          <w:tcPr>
            <w:tcW w:w="2976" w:type="dxa"/>
            <w:shd w:val="clear" w:color="auto" w:fill="FCFCFB"/>
          </w:tcPr>
          <w:p w14:paraId="0E580EFC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0.1%</w:t>
            </w:r>
          </w:p>
        </w:tc>
      </w:tr>
    </w:tbl>
    <w:p w14:paraId="2F8C079D" w14:textId="77777777" w:rsidR="00DC6735" w:rsidRDefault="00DC6735">
      <w:pPr>
        <w:spacing w:after="80"/>
        <w:rPr>
          <w:rFonts w:hint="eastAsia"/>
        </w:rPr>
      </w:pPr>
    </w:p>
    <w:p w14:paraId="2A0CE7D4" w14:textId="77777777" w:rsidR="00DC6735" w:rsidRDefault="00000000">
      <w:pPr>
        <w:spacing w:after="160"/>
        <w:rPr>
          <w:rFonts w:hint="eastAsia"/>
        </w:rPr>
      </w:pPr>
      <w:r>
        <w:t>Roughly 1 in 8 rows is a subtotal/total/grand-total — this is the structural signal (rollforwards, financial statements with running totals) the model needs to learn to distinguish from plain data rows.</w:t>
      </w:r>
    </w:p>
    <w:p w14:paraId="4C268908" w14:textId="77777777" w:rsidR="00DC6735" w:rsidRDefault="00000000">
      <w:pPr>
        <w:pStyle w:val="Heading3"/>
        <w:spacing w:before="280" w:after="160"/>
      </w:pPr>
      <w:r>
        <w:rPr>
          <w:color w:val="2A78D6"/>
          <w:sz w:val="25"/>
        </w:rPr>
        <w:lastRenderedPageBreak/>
        <w:t>5.4 Prompt / completion length</w:t>
      </w:r>
    </w:p>
    <w:p w14:paraId="7D63C9A6" w14:textId="77777777" w:rsidR="00DC6735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1C64286" wp14:editId="3DF2F69B">
            <wp:extent cx="5760720" cy="219954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mpt_completion_len_h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9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single" w:sz="4" w:space="0" w:color="D9D8D2"/>
          <w:left w:val="single" w:sz="4" w:space="0" w:color="D9D8D2"/>
          <w:bottom w:val="single" w:sz="4" w:space="0" w:color="D9D8D2"/>
          <w:right w:val="single" w:sz="4" w:space="0" w:color="D9D8D2"/>
          <w:insideH w:val="single" w:sz="4" w:space="0" w:color="D9D8D2"/>
          <w:insideV w:val="single" w:sz="4" w:space="0" w:color="D9D8D2"/>
        </w:tblBorders>
        <w:tblLook w:val="04A0" w:firstRow="1" w:lastRow="0" w:firstColumn="1" w:lastColumn="0" w:noHBand="0" w:noVBand="1"/>
      </w:tblPr>
      <w:tblGrid>
        <w:gridCol w:w="1195"/>
        <w:gridCol w:w="992"/>
        <w:gridCol w:w="992"/>
        <w:gridCol w:w="992"/>
        <w:gridCol w:w="992"/>
        <w:gridCol w:w="992"/>
        <w:gridCol w:w="992"/>
        <w:gridCol w:w="992"/>
        <w:gridCol w:w="992"/>
      </w:tblGrid>
      <w:tr w:rsidR="00DC6735" w14:paraId="0F348B09" w14:textId="77777777">
        <w:trPr>
          <w:jc w:val="center"/>
        </w:trPr>
        <w:tc>
          <w:tcPr>
            <w:tcW w:w="992" w:type="dxa"/>
            <w:shd w:val="clear" w:color="auto" w:fill="2A78D6"/>
          </w:tcPr>
          <w:p w14:paraId="783BEC06" w14:textId="77777777" w:rsidR="00DC6735" w:rsidRDefault="00DC6735">
            <w:pPr>
              <w:spacing w:after="40"/>
              <w:rPr>
                <w:rFonts w:hint="eastAsia"/>
              </w:rPr>
            </w:pPr>
          </w:p>
        </w:tc>
        <w:tc>
          <w:tcPr>
            <w:tcW w:w="992" w:type="dxa"/>
            <w:shd w:val="clear" w:color="auto" w:fill="2A78D6"/>
          </w:tcPr>
          <w:p w14:paraId="2DDA92CC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min</w:t>
            </w:r>
          </w:p>
        </w:tc>
        <w:tc>
          <w:tcPr>
            <w:tcW w:w="992" w:type="dxa"/>
            <w:shd w:val="clear" w:color="auto" w:fill="2A78D6"/>
          </w:tcPr>
          <w:p w14:paraId="353E7640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p25</w:t>
            </w:r>
          </w:p>
        </w:tc>
        <w:tc>
          <w:tcPr>
            <w:tcW w:w="992" w:type="dxa"/>
            <w:shd w:val="clear" w:color="auto" w:fill="2A78D6"/>
          </w:tcPr>
          <w:p w14:paraId="384B3C6F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median</w:t>
            </w:r>
          </w:p>
        </w:tc>
        <w:tc>
          <w:tcPr>
            <w:tcW w:w="992" w:type="dxa"/>
            <w:shd w:val="clear" w:color="auto" w:fill="2A78D6"/>
          </w:tcPr>
          <w:p w14:paraId="395A373B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mean</w:t>
            </w:r>
          </w:p>
        </w:tc>
        <w:tc>
          <w:tcPr>
            <w:tcW w:w="992" w:type="dxa"/>
            <w:shd w:val="clear" w:color="auto" w:fill="2A78D6"/>
          </w:tcPr>
          <w:p w14:paraId="5505A228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p75</w:t>
            </w:r>
          </w:p>
        </w:tc>
        <w:tc>
          <w:tcPr>
            <w:tcW w:w="992" w:type="dxa"/>
            <w:shd w:val="clear" w:color="auto" w:fill="2A78D6"/>
          </w:tcPr>
          <w:p w14:paraId="542ABC8F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p90</w:t>
            </w:r>
          </w:p>
        </w:tc>
        <w:tc>
          <w:tcPr>
            <w:tcW w:w="992" w:type="dxa"/>
            <w:shd w:val="clear" w:color="auto" w:fill="2A78D6"/>
          </w:tcPr>
          <w:p w14:paraId="0690A699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p99</w:t>
            </w:r>
          </w:p>
        </w:tc>
        <w:tc>
          <w:tcPr>
            <w:tcW w:w="992" w:type="dxa"/>
            <w:shd w:val="clear" w:color="auto" w:fill="2A78D6"/>
          </w:tcPr>
          <w:p w14:paraId="7653FD97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max</w:t>
            </w:r>
          </w:p>
        </w:tc>
      </w:tr>
      <w:tr w:rsidR="00DC6735" w14:paraId="38F3C738" w14:textId="77777777">
        <w:trPr>
          <w:jc w:val="center"/>
        </w:trPr>
        <w:tc>
          <w:tcPr>
            <w:tcW w:w="992" w:type="dxa"/>
            <w:shd w:val="clear" w:color="auto" w:fill="FCFCFB"/>
          </w:tcPr>
          <w:p w14:paraId="6DC69170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Prompt (chars)</w:t>
            </w:r>
          </w:p>
        </w:tc>
        <w:tc>
          <w:tcPr>
            <w:tcW w:w="992" w:type="dxa"/>
            <w:shd w:val="clear" w:color="auto" w:fill="FCFCFB"/>
          </w:tcPr>
          <w:p w14:paraId="75C6663A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443</w:t>
            </w:r>
          </w:p>
        </w:tc>
        <w:tc>
          <w:tcPr>
            <w:tcW w:w="992" w:type="dxa"/>
            <w:shd w:val="clear" w:color="auto" w:fill="FCFCFB"/>
          </w:tcPr>
          <w:p w14:paraId="574CB8AE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1,437</w:t>
            </w:r>
          </w:p>
        </w:tc>
        <w:tc>
          <w:tcPr>
            <w:tcW w:w="992" w:type="dxa"/>
            <w:shd w:val="clear" w:color="auto" w:fill="FCFCFB"/>
          </w:tcPr>
          <w:p w14:paraId="3555BD8F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2,225</w:t>
            </w:r>
          </w:p>
        </w:tc>
        <w:tc>
          <w:tcPr>
            <w:tcW w:w="992" w:type="dxa"/>
            <w:shd w:val="clear" w:color="auto" w:fill="FCFCFB"/>
          </w:tcPr>
          <w:p w14:paraId="3555E254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2,859</w:t>
            </w:r>
          </w:p>
        </w:tc>
        <w:tc>
          <w:tcPr>
            <w:tcW w:w="992" w:type="dxa"/>
            <w:shd w:val="clear" w:color="auto" w:fill="FCFCFB"/>
          </w:tcPr>
          <w:p w14:paraId="3AD88004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3,720</w:t>
            </w:r>
          </w:p>
        </w:tc>
        <w:tc>
          <w:tcPr>
            <w:tcW w:w="992" w:type="dxa"/>
            <w:shd w:val="clear" w:color="auto" w:fill="FCFCFB"/>
          </w:tcPr>
          <w:p w14:paraId="1EB3E894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5,472</w:t>
            </w:r>
          </w:p>
        </w:tc>
        <w:tc>
          <w:tcPr>
            <w:tcW w:w="992" w:type="dxa"/>
            <w:shd w:val="clear" w:color="auto" w:fill="FCFCFB"/>
          </w:tcPr>
          <w:p w14:paraId="76EE4869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10,055</w:t>
            </w:r>
          </w:p>
        </w:tc>
        <w:tc>
          <w:tcPr>
            <w:tcW w:w="992" w:type="dxa"/>
            <w:shd w:val="clear" w:color="auto" w:fill="FCFCFB"/>
          </w:tcPr>
          <w:p w14:paraId="2E5CCB66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17,648</w:t>
            </w:r>
          </w:p>
        </w:tc>
      </w:tr>
      <w:tr w:rsidR="00DC6735" w14:paraId="52B73780" w14:textId="77777777">
        <w:trPr>
          <w:jc w:val="center"/>
        </w:trPr>
        <w:tc>
          <w:tcPr>
            <w:tcW w:w="992" w:type="dxa"/>
            <w:shd w:val="clear" w:color="auto" w:fill="F2F2EF"/>
          </w:tcPr>
          <w:p w14:paraId="7B2E8DE6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Completion (chars)</w:t>
            </w:r>
          </w:p>
        </w:tc>
        <w:tc>
          <w:tcPr>
            <w:tcW w:w="992" w:type="dxa"/>
            <w:shd w:val="clear" w:color="auto" w:fill="F2F2EF"/>
          </w:tcPr>
          <w:p w14:paraId="4406B999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427</w:t>
            </w:r>
          </w:p>
        </w:tc>
        <w:tc>
          <w:tcPr>
            <w:tcW w:w="992" w:type="dxa"/>
            <w:shd w:val="clear" w:color="auto" w:fill="F2F2EF"/>
          </w:tcPr>
          <w:p w14:paraId="510B04F6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4,807</w:t>
            </w:r>
          </w:p>
        </w:tc>
        <w:tc>
          <w:tcPr>
            <w:tcW w:w="992" w:type="dxa"/>
            <w:shd w:val="clear" w:color="auto" w:fill="F2F2EF"/>
          </w:tcPr>
          <w:p w14:paraId="2ECA3E2A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9,035</w:t>
            </w:r>
          </w:p>
        </w:tc>
        <w:tc>
          <w:tcPr>
            <w:tcW w:w="992" w:type="dxa"/>
            <w:shd w:val="clear" w:color="auto" w:fill="F2F2EF"/>
          </w:tcPr>
          <w:p w14:paraId="1FBFA135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12,721</w:t>
            </w:r>
          </w:p>
        </w:tc>
        <w:tc>
          <w:tcPr>
            <w:tcW w:w="992" w:type="dxa"/>
            <w:shd w:val="clear" w:color="auto" w:fill="F2F2EF"/>
          </w:tcPr>
          <w:p w14:paraId="159840D4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17,255</w:t>
            </w:r>
          </w:p>
        </w:tc>
        <w:tc>
          <w:tcPr>
            <w:tcW w:w="992" w:type="dxa"/>
            <w:shd w:val="clear" w:color="auto" w:fill="F2F2EF"/>
          </w:tcPr>
          <w:p w14:paraId="0CFBBEF0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28,522</w:t>
            </w:r>
          </w:p>
        </w:tc>
        <w:tc>
          <w:tcPr>
            <w:tcW w:w="992" w:type="dxa"/>
            <w:shd w:val="clear" w:color="auto" w:fill="F2F2EF"/>
          </w:tcPr>
          <w:p w14:paraId="30D8C053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52,758</w:t>
            </w:r>
          </w:p>
        </w:tc>
        <w:tc>
          <w:tcPr>
            <w:tcW w:w="992" w:type="dxa"/>
            <w:shd w:val="clear" w:color="auto" w:fill="F2F2EF"/>
          </w:tcPr>
          <w:p w14:paraId="06570068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86,231</w:t>
            </w:r>
          </w:p>
        </w:tc>
      </w:tr>
    </w:tbl>
    <w:p w14:paraId="59D8F94C" w14:textId="77777777" w:rsidR="00DC6735" w:rsidRDefault="00DC6735">
      <w:pPr>
        <w:spacing w:after="80"/>
        <w:rPr>
          <w:rFonts w:hint="eastAsia"/>
        </w:rPr>
      </w:pPr>
    </w:p>
    <w:p w14:paraId="73E0C39B" w14:textId="77777777" w:rsidR="00DC6735" w:rsidRDefault="00000000">
      <w:pPr>
        <w:spacing w:after="160"/>
        <w:rPr>
          <w:rFonts w:hint="eastAsia"/>
        </w:rPr>
      </w:pPr>
      <w:r>
        <w:t xml:space="preserve">Completions run </w:t>
      </w:r>
      <w:r>
        <w:rPr>
          <w:b/>
        </w:rPr>
        <w:t>~4x longer than prompts on median</w:t>
      </w:r>
      <w:r>
        <w:t xml:space="preserve"> — expected, since the completion re-emits every row/column/cell of the input table plus classification metadata (type, confidence, concept IDs) for each. The p99 completion (~53K chars, ~13–18K tokens) and max (86K chars) are a meaningful tail that drives sequence-length/truncation decisions for training.</w:t>
      </w:r>
    </w:p>
    <w:p w14:paraId="10BCF9D6" w14:textId="77777777" w:rsidR="00DC6735" w:rsidRDefault="00000000">
      <w:pPr>
        <w:pStyle w:val="Heading3"/>
        <w:spacing w:before="280" w:after="160"/>
      </w:pPr>
      <w:r>
        <w:rPr>
          <w:color w:val="2A78D6"/>
          <w:sz w:val="25"/>
        </w:rPr>
        <w:t>5.5 Label richness / confidence</w:t>
      </w:r>
    </w:p>
    <w:p w14:paraId="3CC94934" w14:textId="77777777" w:rsidR="00DC6735" w:rsidRDefault="00000000">
      <w:pPr>
        <w:pStyle w:val="ListBullet"/>
        <w:spacing w:after="80"/>
        <w:rPr>
          <w:rFonts w:hint="eastAsia"/>
        </w:rPr>
      </w:pPr>
      <w:r>
        <w:rPr>
          <w:b/>
        </w:rPr>
        <w:t>Cell `concept_id` fill rate: 93.0%</w:t>
      </w:r>
      <w:r>
        <w:t xml:space="preserve"> — the large majority of cells are tagged with a financial concept (e.g. </w:t>
      </w:r>
      <w:r>
        <w:rPr>
          <w:rFonts w:ascii="Consolas" w:hAnsi="Consolas"/>
          <w:color w:val="8A2B06"/>
          <w:sz w:val="20"/>
        </w:rPr>
        <w:t>NoteReference</w:t>
      </w:r>
      <w:r>
        <w:t>, XBRL-style concepts), meaning the completions carry dense semantic labeling, not just structural typing.</w:t>
      </w:r>
    </w:p>
    <w:p w14:paraId="110A2E27" w14:textId="77777777" w:rsidR="00DC6735" w:rsidRDefault="00000000">
      <w:pPr>
        <w:pStyle w:val="ListBullet"/>
        <w:spacing w:after="80"/>
        <w:rPr>
          <w:rFonts w:hint="eastAsia"/>
        </w:rPr>
      </w:pPr>
      <w:r>
        <w:rPr>
          <w:b/>
        </w:rPr>
        <w:t>Row `note_ref_value` fill rate: 7.4%</w:t>
      </w:r>
      <w:r>
        <w:t xml:space="preserve"> — footnote/note references are comparatively rare, concentrated in a subset of rows.</w:t>
      </w:r>
    </w:p>
    <w:p w14:paraId="4E9954FA" w14:textId="77777777" w:rsidR="00DC6735" w:rsidRDefault="00000000">
      <w:pPr>
        <w:pStyle w:val="ListBullet"/>
        <w:spacing w:after="80"/>
        <w:rPr>
          <w:rFonts w:hint="eastAsia"/>
        </w:rPr>
      </w:pPr>
      <w:r>
        <w:rPr>
          <w:b/>
        </w:rPr>
        <w:t>`table_type` confidence</w:t>
      </w:r>
      <w:r>
        <w:t xml:space="preserve"> — median 0.95, mean 0.93, min 0.20. The vast majority of labels carry high labeler confidence; a small tail of low-confidence labels (down to 0.20) exists and is worth spot-checking for label noise.</w:t>
      </w:r>
    </w:p>
    <w:p w14:paraId="6B5DC73F" w14:textId="77777777" w:rsidR="00DC6735" w:rsidRDefault="00000000">
      <w:pPr>
        <w:pStyle w:val="Heading2"/>
        <w:spacing w:before="280" w:after="160"/>
      </w:pPr>
      <w:r>
        <w:rPr>
          <w:color w:val="0B0B0B"/>
          <w:sz w:val="30"/>
        </w:rPr>
        <w:t>6. Training run</w:t>
      </w:r>
    </w:p>
    <w:p w14:paraId="07B1A038" w14:textId="77777777" w:rsidR="00DC6735" w:rsidRDefault="00000000">
      <w:pPr>
        <w:spacing w:after="160"/>
        <w:rPr>
          <w:rFonts w:hint="eastAsia"/>
        </w:rPr>
      </w:pPr>
      <w:r>
        <w:rPr>
          <w:b/>
        </w:rPr>
        <w:t>Adapter:</w:t>
      </w:r>
      <w:r>
        <w:t xml:space="preserve"> </w:t>
      </w:r>
      <w:r>
        <w:rPr>
          <w:rFonts w:ascii="Consolas" w:hAnsi="Consolas"/>
          <w:color w:val="8A2B06"/>
          <w:sz w:val="20"/>
        </w:rPr>
        <w:t>teamspace_uploads_Qwen3.5-4B_v16v2_clean_dataset_220726_3epochs</w:t>
      </w:r>
      <w:r>
        <w:t xml:space="preserve"> — a LoRA adapter fine-tuned on top of </w:t>
      </w:r>
      <w:r>
        <w:rPr>
          <w:rFonts w:ascii="Consolas" w:hAnsi="Consolas"/>
          <w:color w:val="8A2B06"/>
          <w:sz w:val="20"/>
        </w:rPr>
        <w:t>Qwen/Qwen3.5-4B</w:t>
      </w:r>
      <w:r>
        <w:t xml:space="preserve"> using the clean 6,109-record dataset from §5, later merged into a standalone model via </w:t>
      </w:r>
      <w:r>
        <w:rPr>
          <w:rFonts w:ascii="Consolas" w:hAnsi="Consolas"/>
          <w:color w:val="8A2B06"/>
          <w:sz w:val="20"/>
        </w:rPr>
        <w:t>merge_model.py</w:t>
      </w:r>
      <w:r>
        <w:t>.</w:t>
      </w:r>
    </w:p>
    <w:p w14:paraId="445C4036" w14:textId="77777777" w:rsidR="00DC6735" w:rsidRDefault="00000000">
      <w:pPr>
        <w:pStyle w:val="Heading3"/>
        <w:spacing w:before="280" w:after="160"/>
      </w:pPr>
      <w:r>
        <w:rPr>
          <w:color w:val="2A78D6"/>
          <w:sz w:val="25"/>
        </w:rPr>
        <w:lastRenderedPageBreak/>
        <w:t>6.1 Setup</w:t>
      </w:r>
    </w:p>
    <w:tbl>
      <w:tblPr>
        <w:tblW w:w="0" w:type="auto"/>
        <w:jc w:val="center"/>
        <w:tblBorders>
          <w:top w:val="single" w:sz="4" w:space="0" w:color="D9D8D2"/>
          <w:left w:val="single" w:sz="4" w:space="0" w:color="D9D8D2"/>
          <w:bottom w:val="single" w:sz="4" w:space="0" w:color="D9D8D2"/>
          <w:right w:val="single" w:sz="4" w:space="0" w:color="D9D8D2"/>
          <w:insideH w:val="single" w:sz="4" w:space="0" w:color="D9D8D2"/>
          <w:insideV w:val="single" w:sz="4" w:space="0" w:color="D9D8D2"/>
        </w:tblBorders>
        <w:tblLook w:val="04A0" w:firstRow="1" w:lastRow="0" w:firstColumn="1" w:lastColumn="0" w:noHBand="0" w:noVBand="1"/>
      </w:tblPr>
      <w:tblGrid>
        <w:gridCol w:w="4464"/>
        <w:gridCol w:w="4464"/>
      </w:tblGrid>
      <w:tr w:rsidR="00DC6735" w14:paraId="030F796A" w14:textId="77777777">
        <w:trPr>
          <w:jc w:val="center"/>
        </w:trPr>
        <w:tc>
          <w:tcPr>
            <w:tcW w:w="4464" w:type="dxa"/>
            <w:shd w:val="clear" w:color="auto" w:fill="2A78D6"/>
          </w:tcPr>
          <w:p w14:paraId="2218367B" w14:textId="77777777" w:rsidR="00DC6735" w:rsidRDefault="00DC6735">
            <w:pPr>
              <w:spacing w:after="40"/>
              <w:rPr>
                <w:rFonts w:hint="eastAsia"/>
              </w:rPr>
            </w:pPr>
          </w:p>
        </w:tc>
        <w:tc>
          <w:tcPr>
            <w:tcW w:w="4464" w:type="dxa"/>
            <w:shd w:val="clear" w:color="auto" w:fill="2A78D6"/>
          </w:tcPr>
          <w:p w14:paraId="15EEBE84" w14:textId="77777777" w:rsidR="00DC6735" w:rsidRDefault="00DC6735">
            <w:pPr>
              <w:spacing w:after="40"/>
              <w:rPr>
                <w:rFonts w:hint="eastAsia"/>
              </w:rPr>
            </w:pPr>
          </w:p>
        </w:tc>
      </w:tr>
      <w:tr w:rsidR="00DC6735" w14:paraId="775D440B" w14:textId="77777777">
        <w:trPr>
          <w:jc w:val="center"/>
        </w:trPr>
        <w:tc>
          <w:tcPr>
            <w:tcW w:w="4464" w:type="dxa"/>
            <w:shd w:val="clear" w:color="auto" w:fill="FCFCFB"/>
          </w:tcPr>
          <w:p w14:paraId="03B1987A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Base model</w:t>
            </w:r>
          </w:p>
        </w:tc>
        <w:tc>
          <w:tcPr>
            <w:tcW w:w="4464" w:type="dxa"/>
            <w:shd w:val="clear" w:color="auto" w:fill="FCFCFB"/>
          </w:tcPr>
          <w:p w14:paraId="4F331FF1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Qwen/Qwen3.5-4B</w:t>
            </w:r>
          </w:p>
        </w:tc>
      </w:tr>
      <w:tr w:rsidR="00DC6735" w14:paraId="00BCD7DA" w14:textId="77777777">
        <w:trPr>
          <w:jc w:val="center"/>
        </w:trPr>
        <w:tc>
          <w:tcPr>
            <w:tcW w:w="4464" w:type="dxa"/>
            <w:shd w:val="clear" w:color="auto" w:fill="F2F2EF"/>
          </w:tcPr>
          <w:p w14:paraId="5008534E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Method</w:t>
            </w:r>
          </w:p>
        </w:tc>
        <w:tc>
          <w:tcPr>
            <w:tcW w:w="4464" w:type="dxa"/>
            <w:shd w:val="clear" w:color="auto" w:fill="F2F2EF"/>
          </w:tcPr>
          <w:p w14:paraId="6A70B42B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LoRA (PEFT 0.19.1)</w:t>
            </w:r>
          </w:p>
        </w:tc>
      </w:tr>
      <w:tr w:rsidR="00DC6735" w14:paraId="5ADFC1A9" w14:textId="77777777">
        <w:trPr>
          <w:jc w:val="center"/>
        </w:trPr>
        <w:tc>
          <w:tcPr>
            <w:tcW w:w="4464" w:type="dxa"/>
            <w:shd w:val="clear" w:color="auto" w:fill="FCFCFB"/>
          </w:tcPr>
          <w:p w14:paraId="67B16DD5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LoRA rank / alpha / dropout</w:t>
            </w:r>
          </w:p>
        </w:tc>
        <w:tc>
          <w:tcPr>
            <w:tcW w:w="4464" w:type="dxa"/>
            <w:shd w:val="clear" w:color="auto" w:fill="FCFCFB"/>
          </w:tcPr>
          <w:p w14:paraId="1CCF6198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r=32, alpha=64, dropout=0.05</w:t>
            </w:r>
          </w:p>
        </w:tc>
      </w:tr>
      <w:tr w:rsidR="00DC6735" w14:paraId="5A6A8D0B" w14:textId="77777777">
        <w:trPr>
          <w:jc w:val="center"/>
        </w:trPr>
        <w:tc>
          <w:tcPr>
            <w:tcW w:w="4464" w:type="dxa"/>
            <w:shd w:val="clear" w:color="auto" w:fill="F2F2EF"/>
          </w:tcPr>
          <w:p w14:paraId="55154822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LoRA target modules</w:t>
            </w:r>
          </w:p>
        </w:tc>
        <w:tc>
          <w:tcPr>
            <w:tcW w:w="4464" w:type="dxa"/>
            <w:shd w:val="clear" w:color="auto" w:fill="F2F2EF"/>
          </w:tcPr>
          <w:p w14:paraId="2C7D3517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rFonts w:ascii="Consolas" w:hAnsi="Consolas"/>
                <w:color w:val="8A2B06"/>
                <w:sz w:val="18"/>
              </w:rPr>
              <w:t>q_proj, k_proj, v_proj, o_proj, gate_proj, up_proj, down_proj, out_proj, in_proj_qkv, in_proj_a, in_proj_b, in_proj_z</w:t>
            </w:r>
          </w:p>
        </w:tc>
      </w:tr>
      <w:tr w:rsidR="00DC6735" w14:paraId="0A2E6D2D" w14:textId="77777777">
        <w:trPr>
          <w:jc w:val="center"/>
        </w:trPr>
        <w:tc>
          <w:tcPr>
            <w:tcW w:w="4464" w:type="dxa"/>
            <w:shd w:val="clear" w:color="auto" w:fill="FCFCFB"/>
          </w:tcPr>
          <w:p w14:paraId="44B1C918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Hardware</w:t>
            </w:r>
          </w:p>
        </w:tc>
        <w:tc>
          <w:tcPr>
            <w:tcW w:w="4464" w:type="dxa"/>
            <w:shd w:val="clear" w:color="auto" w:fill="FCFCFB"/>
          </w:tcPr>
          <w:p w14:paraId="737C7F59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1× NVIDIA L4 GPU</w:t>
            </w:r>
          </w:p>
        </w:tc>
      </w:tr>
      <w:tr w:rsidR="00DC6735" w14:paraId="2C50C59A" w14:textId="77777777">
        <w:trPr>
          <w:jc w:val="center"/>
        </w:trPr>
        <w:tc>
          <w:tcPr>
            <w:tcW w:w="4464" w:type="dxa"/>
            <w:shd w:val="clear" w:color="auto" w:fill="F2F2EF"/>
          </w:tcPr>
          <w:p w14:paraId="321F03EE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Precision</w:t>
            </w:r>
          </w:p>
        </w:tc>
        <w:tc>
          <w:tcPr>
            <w:tcW w:w="4464" w:type="dxa"/>
            <w:shd w:val="clear" w:color="auto" w:fill="F2F2EF"/>
          </w:tcPr>
          <w:p w14:paraId="6AE69E38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fp16, gradient checkpointing on</w:t>
            </w:r>
          </w:p>
        </w:tc>
      </w:tr>
      <w:tr w:rsidR="00DC6735" w14:paraId="67FC4CD7" w14:textId="77777777">
        <w:trPr>
          <w:jc w:val="center"/>
        </w:trPr>
        <w:tc>
          <w:tcPr>
            <w:tcW w:w="4464" w:type="dxa"/>
            <w:shd w:val="clear" w:color="auto" w:fill="FCFCFB"/>
          </w:tcPr>
          <w:p w14:paraId="31B97725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Software</w:t>
            </w:r>
          </w:p>
        </w:tc>
        <w:tc>
          <w:tcPr>
            <w:tcW w:w="4464" w:type="dxa"/>
            <w:shd w:val="clear" w:color="auto" w:fill="FCFCFB"/>
          </w:tcPr>
          <w:p w14:paraId="331C83E2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torch 2.8.0+cu128, transformers 5.14.1</w:t>
            </w:r>
          </w:p>
        </w:tc>
      </w:tr>
      <w:tr w:rsidR="00DC6735" w14:paraId="7C1148A0" w14:textId="77777777">
        <w:trPr>
          <w:jc w:val="center"/>
        </w:trPr>
        <w:tc>
          <w:tcPr>
            <w:tcW w:w="4464" w:type="dxa"/>
            <w:shd w:val="clear" w:color="auto" w:fill="F2F2EF"/>
          </w:tcPr>
          <w:p w14:paraId="551CC8D8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Dataset</w:t>
            </w:r>
          </w:p>
        </w:tc>
        <w:tc>
          <w:tcPr>
            <w:tcW w:w="4464" w:type="dxa"/>
            <w:shd w:val="clear" w:color="auto" w:fill="F2F2EF"/>
          </w:tcPr>
          <w:p w14:paraId="4C51E028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rFonts w:ascii="Consolas" w:hAnsi="Consolas"/>
                <w:color w:val="8A2B06"/>
                <w:sz w:val="18"/>
              </w:rPr>
              <w:t>dataset_v16v2_200726.clean.jsonl</w:t>
            </w:r>
            <w:r>
              <w:rPr>
                <w:sz w:val="19"/>
              </w:rPr>
              <w:t>, 6,109/6,109 samples used, max sequence length 1,024 tokens</w:t>
            </w:r>
          </w:p>
        </w:tc>
      </w:tr>
      <w:tr w:rsidR="00DC6735" w14:paraId="6C8D6953" w14:textId="77777777">
        <w:trPr>
          <w:jc w:val="center"/>
        </w:trPr>
        <w:tc>
          <w:tcPr>
            <w:tcW w:w="4464" w:type="dxa"/>
            <w:shd w:val="clear" w:color="auto" w:fill="FCFCFB"/>
          </w:tcPr>
          <w:p w14:paraId="3E1C2A1F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Epochs</w:t>
            </w:r>
          </w:p>
        </w:tc>
        <w:tc>
          <w:tcPr>
            <w:tcW w:w="4464" w:type="dxa"/>
            <w:shd w:val="clear" w:color="auto" w:fill="FCFCFB"/>
          </w:tcPr>
          <w:p w14:paraId="5988B4D0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3</w:t>
            </w:r>
          </w:p>
        </w:tc>
      </w:tr>
      <w:tr w:rsidR="00DC6735" w14:paraId="1FE45248" w14:textId="77777777">
        <w:trPr>
          <w:jc w:val="center"/>
        </w:trPr>
        <w:tc>
          <w:tcPr>
            <w:tcW w:w="4464" w:type="dxa"/>
            <w:shd w:val="clear" w:color="auto" w:fill="F2F2EF"/>
          </w:tcPr>
          <w:p w14:paraId="080E8639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Per-device batch size / grad. accumulation</w:t>
            </w:r>
          </w:p>
        </w:tc>
        <w:tc>
          <w:tcPr>
            <w:tcW w:w="4464" w:type="dxa"/>
            <w:shd w:val="clear" w:color="auto" w:fill="F2F2EF"/>
          </w:tcPr>
          <w:p w14:paraId="303FEFEE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 xml:space="preserve">3 / 16 → </w:t>
            </w:r>
            <w:r>
              <w:rPr>
                <w:b/>
                <w:sz w:val="19"/>
              </w:rPr>
              <w:t>effective batch size 48</w:t>
            </w:r>
          </w:p>
        </w:tc>
      </w:tr>
      <w:tr w:rsidR="00DC6735" w14:paraId="0D551A86" w14:textId="77777777">
        <w:trPr>
          <w:jc w:val="center"/>
        </w:trPr>
        <w:tc>
          <w:tcPr>
            <w:tcW w:w="4464" w:type="dxa"/>
            <w:shd w:val="clear" w:color="auto" w:fill="FCFCFB"/>
          </w:tcPr>
          <w:p w14:paraId="15355F50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Optimizer</w:t>
            </w:r>
          </w:p>
        </w:tc>
        <w:tc>
          <w:tcPr>
            <w:tcW w:w="4464" w:type="dxa"/>
            <w:shd w:val="clear" w:color="auto" w:fill="FCFCFB"/>
          </w:tcPr>
          <w:p w14:paraId="3B963AA8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AdamW (β1=0.9, β2=0.999, ε=1e-8), weight decay 0.01, max grad norm 1.0</w:t>
            </w:r>
          </w:p>
        </w:tc>
      </w:tr>
      <w:tr w:rsidR="00DC6735" w14:paraId="50A0D46A" w14:textId="77777777">
        <w:trPr>
          <w:jc w:val="center"/>
        </w:trPr>
        <w:tc>
          <w:tcPr>
            <w:tcW w:w="4464" w:type="dxa"/>
            <w:shd w:val="clear" w:color="auto" w:fill="F2F2EF"/>
          </w:tcPr>
          <w:p w14:paraId="14E731D7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LR schedule</w:t>
            </w:r>
          </w:p>
        </w:tc>
        <w:tc>
          <w:tcPr>
            <w:tcW w:w="4464" w:type="dxa"/>
            <w:shd w:val="clear" w:color="auto" w:fill="F2F2EF"/>
          </w:tcPr>
          <w:p w14:paraId="046FD090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5e-5 peak, cosine decay, 3% warmup</w:t>
            </w:r>
          </w:p>
        </w:tc>
      </w:tr>
      <w:tr w:rsidR="00DC6735" w14:paraId="50FB296C" w14:textId="77777777">
        <w:trPr>
          <w:jc w:val="center"/>
        </w:trPr>
        <w:tc>
          <w:tcPr>
            <w:tcW w:w="4464" w:type="dxa"/>
            <w:shd w:val="clear" w:color="auto" w:fill="FCFCFB"/>
          </w:tcPr>
          <w:p w14:paraId="4501D7E0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Seed</w:t>
            </w:r>
          </w:p>
        </w:tc>
        <w:tc>
          <w:tcPr>
            <w:tcW w:w="4464" w:type="dxa"/>
            <w:shd w:val="clear" w:color="auto" w:fill="FCFCFB"/>
          </w:tcPr>
          <w:p w14:paraId="72C37F65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42</w:t>
            </w:r>
          </w:p>
        </w:tc>
      </w:tr>
    </w:tbl>
    <w:p w14:paraId="4E70E515" w14:textId="77777777" w:rsidR="00DC6735" w:rsidRDefault="00DC6735">
      <w:pPr>
        <w:spacing w:after="80"/>
        <w:rPr>
          <w:rFonts w:hint="eastAsia"/>
        </w:rPr>
      </w:pPr>
    </w:p>
    <w:p w14:paraId="5C113018" w14:textId="77777777" w:rsidR="00DC6735" w:rsidRDefault="00000000">
      <w:pPr>
        <w:spacing w:after="160"/>
        <w:rPr>
          <w:rFonts w:hint="eastAsia"/>
        </w:rPr>
      </w:pPr>
      <w:r>
        <w:t>The LoRA target list includes both standard dense-attention projections (</w:t>
      </w:r>
      <w:r>
        <w:rPr>
          <w:rFonts w:ascii="Consolas" w:hAnsi="Consolas"/>
          <w:color w:val="8A2B06"/>
          <w:sz w:val="20"/>
        </w:rPr>
        <w:t>q/k/v/o_proj</w:t>
      </w:r>
      <w:r>
        <w:t>) and gated-projection names (</w:t>
      </w:r>
      <w:r>
        <w:rPr>
          <w:rFonts w:ascii="Consolas" w:hAnsi="Consolas"/>
          <w:color w:val="8A2B06"/>
          <w:sz w:val="20"/>
        </w:rPr>
        <w:t>in_proj_qkv</w:t>
      </w:r>
      <w:r>
        <w:t xml:space="preserve">, </w:t>
      </w:r>
      <w:r>
        <w:rPr>
          <w:rFonts w:ascii="Consolas" w:hAnsi="Consolas"/>
          <w:color w:val="8A2B06"/>
          <w:sz w:val="20"/>
        </w:rPr>
        <w:t>in_proj_a/b/z</w:t>
      </w:r>
      <w:r>
        <w:t>) — consistent with Qwen3.5-4B using a hybrid/gated attention block rather than plain multi-head attention, so LoRA adapters were attached to every relevant linear layer, not just the usual four.</w:t>
      </w:r>
    </w:p>
    <w:p w14:paraId="1A6EDDEA" w14:textId="77777777" w:rsidR="00DC6735" w:rsidRDefault="00000000">
      <w:pPr>
        <w:pStyle w:val="Heading3"/>
        <w:spacing w:before="280" w:after="160"/>
      </w:pPr>
      <w:r>
        <w:rPr>
          <w:color w:val="2A78D6"/>
          <w:sz w:val="25"/>
        </w:rPr>
        <w:t>6.2 Loss curve</w:t>
      </w:r>
    </w:p>
    <w:p w14:paraId="2A4421A4" w14:textId="77777777" w:rsidR="00DC6735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CEB6FAD" wp14:editId="5F2811BE">
            <wp:extent cx="5760720" cy="264993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ining_loss_cur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9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single" w:sz="4" w:space="0" w:color="D9D8D2"/>
          <w:left w:val="single" w:sz="4" w:space="0" w:color="D9D8D2"/>
          <w:bottom w:val="single" w:sz="4" w:space="0" w:color="D9D8D2"/>
          <w:right w:val="single" w:sz="4" w:space="0" w:color="D9D8D2"/>
          <w:insideH w:val="single" w:sz="4" w:space="0" w:color="D9D8D2"/>
          <w:insideV w:val="single" w:sz="4" w:space="0" w:color="D9D8D2"/>
        </w:tblBorders>
        <w:tblLook w:val="04A0" w:firstRow="1" w:lastRow="0" w:firstColumn="1" w:lastColumn="0" w:noHBand="0" w:noVBand="1"/>
      </w:tblPr>
      <w:tblGrid>
        <w:gridCol w:w="2232"/>
        <w:gridCol w:w="2232"/>
        <w:gridCol w:w="2232"/>
        <w:gridCol w:w="2232"/>
      </w:tblGrid>
      <w:tr w:rsidR="00DC6735" w14:paraId="31FFCEA3" w14:textId="77777777">
        <w:trPr>
          <w:jc w:val="center"/>
        </w:trPr>
        <w:tc>
          <w:tcPr>
            <w:tcW w:w="2232" w:type="dxa"/>
            <w:shd w:val="clear" w:color="auto" w:fill="2A78D6"/>
          </w:tcPr>
          <w:p w14:paraId="12CB5CEF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lastRenderedPageBreak/>
              <w:t>Epoch</w:t>
            </w:r>
          </w:p>
        </w:tc>
        <w:tc>
          <w:tcPr>
            <w:tcW w:w="2232" w:type="dxa"/>
            <w:shd w:val="clear" w:color="auto" w:fill="2A78D6"/>
          </w:tcPr>
          <w:p w14:paraId="1EB8F3D3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Mean loss (logged steps)</w:t>
            </w:r>
          </w:p>
        </w:tc>
        <w:tc>
          <w:tcPr>
            <w:tcW w:w="2232" w:type="dxa"/>
            <w:shd w:val="clear" w:color="auto" w:fill="2A78D6"/>
          </w:tcPr>
          <w:p w14:paraId="386EA591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Min</w:t>
            </w:r>
          </w:p>
        </w:tc>
        <w:tc>
          <w:tcPr>
            <w:tcW w:w="2232" w:type="dxa"/>
            <w:shd w:val="clear" w:color="auto" w:fill="2A78D6"/>
          </w:tcPr>
          <w:p w14:paraId="07D28332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Max</w:t>
            </w:r>
          </w:p>
        </w:tc>
      </w:tr>
      <w:tr w:rsidR="00DC6735" w14:paraId="21EE0D5A" w14:textId="77777777">
        <w:trPr>
          <w:jc w:val="center"/>
        </w:trPr>
        <w:tc>
          <w:tcPr>
            <w:tcW w:w="2232" w:type="dxa"/>
            <w:shd w:val="clear" w:color="auto" w:fill="FCFCFB"/>
          </w:tcPr>
          <w:p w14:paraId="3DA702E8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2232" w:type="dxa"/>
            <w:shd w:val="clear" w:color="auto" w:fill="FCFCFB"/>
          </w:tcPr>
          <w:p w14:paraId="4B2740E4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0.71 (skewed by warmup spike)</w:t>
            </w:r>
          </w:p>
        </w:tc>
        <w:tc>
          <w:tcPr>
            <w:tcW w:w="2232" w:type="dxa"/>
            <w:shd w:val="clear" w:color="auto" w:fill="FCFCFB"/>
          </w:tcPr>
          <w:p w14:paraId="3BF15706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0.038</w:t>
            </w:r>
          </w:p>
        </w:tc>
        <w:tc>
          <w:tcPr>
            <w:tcW w:w="2232" w:type="dxa"/>
            <w:shd w:val="clear" w:color="auto" w:fill="FCFCFB"/>
          </w:tcPr>
          <w:p w14:paraId="34A4661C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4.30</w:t>
            </w:r>
          </w:p>
        </w:tc>
      </w:tr>
      <w:tr w:rsidR="00DC6735" w14:paraId="476EF28A" w14:textId="77777777">
        <w:trPr>
          <w:jc w:val="center"/>
        </w:trPr>
        <w:tc>
          <w:tcPr>
            <w:tcW w:w="2232" w:type="dxa"/>
            <w:shd w:val="clear" w:color="auto" w:fill="F2F2EF"/>
          </w:tcPr>
          <w:p w14:paraId="4482EC9E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2</w:t>
            </w:r>
          </w:p>
        </w:tc>
        <w:tc>
          <w:tcPr>
            <w:tcW w:w="2232" w:type="dxa"/>
            <w:shd w:val="clear" w:color="auto" w:fill="F2F2EF"/>
          </w:tcPr>
          <w:p w14:paraId="6DBC48B4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0.036</w:t>
            </w:r>
          </w:p>
        </w:tc>
        <w:tc>
          <w:tcPr>
            <w:tcW w:w="2232" w:type="dxa"/>
            <w:shd w:val="clear" w:color="auto" w:fill="F2F2EF"/>
          </w:tcPr>
          <w:p w14:paraId="6B3E2364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0.031</w:t>
            </w:r>
          </w:p>
        </w:tc>
        <w:tc>
          <w:tcPr>
            <w:tcW w:w="2232" w:type="dxa"/>
            <w:shd w:val="clear" w:color="auto" w:fill="F2F2EF"/>
          </w:tcPr>
          <w:p w14:paraId="49E092DD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0.047</w:t>
            </w:r>
          </w:p>
        </w:tc>
      </w:tr>
      <w:tr w:rsidR="00DC6735" w14:paraId="435A1017" w14:textId="77777777">
        <w:trPr>
          <w:jc w:val="center"/>
        </w:trPr>
        <w:tc>
          <w:tcPr>
            <w:tcW w:w="2232" w:type="dxa"/>
            <w:shd w:val="clear" w:color="auto" w:fill="FCFCFB"/>
          </w:tcPr>
          <w:p w14:paraId="065B7233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3</w:t>
            </w:r>
          </w:p>
        </w:tc>
        <w:tc>
          <w:tcPr>
            <w:tcW w:w="2232" w:type="dxa"/>
            <w:shd w:val="clear" w:color="auto" w:fill="FCFCFB"/>
          </w:tcPr>
          <w:p w14:paraId="7D38CEBD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0.027</w:t>
            </w:r>
          </w:p>
        </w:tc>
        <w:tc>
          <w:tcPr>
            <w:tcW w:w="2232" w:type="dxa"/>
            <w:shd w:val="clear" w:color="auto" w:fill="FCFCFB"/>
          </w:tcPr>
          <w:p w14:paraId="07601C0E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0.024</w:t>
            </w:r>
          </w:p>
        </w:tc>
        <w:tc>
          <w:tcPr>
            <w:tcW w:w="2232" w:type="dxa"/>
            <w:shd w:val="clear" w:color="auto" w:fill="FCFCFB"/>
          </w:tcPr>
          <w:p w14:paraId="0D20EE13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0.031</w:t>
            </w:r>
          </w:p>
        </w:tc>
      </w:tr>
    </w:tbl>
    <w:p w14:paraId="71281D3E" w14:textId="77777777" w:rsidR="00DC6735" w:rsidRDefault="00DC6735">
      <w:pPr>
        <w:spacing w:after="80"/>
        <w:rPr>
          <w:rFonts w:hint="eastAsia"/>
        </w:rPr>
      </w:pPr>
    </w:p>
    <w:p w14:paraId="2AF6BA07" w14:textId="77777777" w:rsidR="00DC6735" w:rsidRDefault="00000000">
      <w:pPr>
        <w:spacing w:after="160"/>
        <w:rPr>
          <w:rFonts w:hint="eastAsia"/>
        </w:rPr>
      </w:pPr>
      <w:r>
        <w:t>The first ~15 steps sit inside the warmup window (</w:t>
      </w:r>
      <w:r>
        <w:rPr>
          <w:rFonts w:ascii="Consolas" w:hAnsi="Consolas"/>
          <w:color w:val="8A2B06"/>
          <w:sz w:val="20"/>
        </w:rPr>
        <w:t>learning_rate: 0</w:t>
      </w:r>
      <w:r>
        <w:t xml:space="preserve"> while it ramps up), during which loss is still near the base model's untrained level (~4.3, </w:t>
      </w:r>
      <w:r>
        <w:rPr>
          <w:rFonts w:ascii="Consolas" w:hAnsi="Consolas"/>
          <w:color w:val="8A2B06"/>
          <w:sz w:val="20"/>
        </w:rPr>
        <w:t>grad_norm: NaN</w:t>
      </w:r>
      <w:r>
        <w:t xml:space="preserve">). Once the learning rate reaches its 5e-5 peak (~step 20), loss collapses by two orders of magnitude within ~15 steps (4.3 → 0.32 → 0.13 → 0.06) — the model is very quickly learning the rigid JSON output template (keys, nesting, field names) before it has any chance to learn the harder semantic content (correct </w:t>
      </w:r>
      <w:r>
        <w:rPr>
          <w:rFonts w:ascii="Consolas" w:hAnsi="Consolas"/>
          <w:color w:val="8A2B06"/>
          <w:sz w:val="20"/>
        </w:rPr>
        <w:t>table_type</w:t>
      </w:r>
      <w:r>
        <w:t xml:space="preserve">, </w:t>
      </w:r>
      <w:r>
        <w:rPr>
          <w:rFonts w:ascii="Consolas" w:hAnsi="Consolas"/>
          <w:color w:val="8A2B06"/>
          <w:sz w:val="20"/>
        </w:rPr>
        <w:t>row_type</w:t>
      </w:r>
      <w:r>
        <w:t xml:space="preserve">, </w:t>
      </w:r>
      <w:r>
        <w:rPr>
          <w:rFonts w:ascii="Consolas" w:hAnsi="Consolas"/>
          <w:color w:val="8A2B06"/>
          <w:sz w:val="20"/>
        </w:rPr>
        <w:t>concept_id</w:t>
      </w:r>
      <w:r>
        <w:t xml:space="preserve"> values). Loss then declines slowly and steadily for the remaining ~2.8 epochs, ending around </w:t>
      </w:r>
      <w:r>
        <w:rPr>
          <w:b/>
        </w:rPr>
        <w:t>0.024–0.03</w:t>
      </w:r>
      <w:r>
        <w:t xml:space="preserve"> by the final step. Trainer-reported aggregate </w:t>
      </w:r>
      <w:r>
        <w:rPr>
          <w:rFonts w:ascii="Consolas" w:hAnsi="Consolas"/>
          <w:color w:val="8A2B06"/>
          <w:sz w:val="20"/>
        </w:rPr>
        <w:t>train_loss: 0.206</w:t>
      </w:r>
      <w:r>
        <w:t xml:space="preserve"> averages in that initial warmup spike and understates how well-converged the final checkpoint actually is — the epoch-3 mean (0.027) is the more representative number.</w:t>
      </w:r>
    </w:p>
    <w:p w14:paraId="564B649A" w14:textId="77777777" w:rsidR="00DC6735" w:rsidRDefault="00000000">
      <w:pPr>
        <w:pStyle w:val="Heading3"/>
        <w:spacing w:before="280" w:after="160"/>
      </w:pPr>
      <w:r>
        <w:rPr>
          <w:color w:val="2A78D6"/>
          <w:sz w:val="25"/>
        </w:rPr>
        <w:t>6.3 Learning-rate schedule</w:t>
      </w:r>
    </w:p>
    <w:p w14:paraId="255F3B6B" w14:textId="77777777" w:rsidR="00DC6735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F3D9452" wp14:editId="186FCFA7">
            <wp:extent cx="5760720" cy="207385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ining_lr_schedu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73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738AF" w14:textId="77777777" w:rsidR="00DC6735" w:rsidRDefault="00000000">
      <w:pPr>
        <w:spacing w:after="160"/>
        <w:rPr>
          <w:rFonts w:hint="eastAsia"/>
        </w:rPr>
      </w:pPr>
      <w:r>
        <w:t>Standard warmup (3% of steps) to a 5e-5 peak, followed by cosine decay to ~0 over the remaining steps — visible directly in the loss curve's soft convergence in epochs 2–3 rather than an abrupt cutoff.</w:t>
      </w:r>
    </w:p>
    <w:p w14:paraId="65C66FFB" w14:textId="77777777" w:rsidR="00DC6735" w:rsidRDefault="00000000">
      <w:pPr>
        <w:pStyle w:val="Heading3"/>
        <w:spacing w:before="280" w:after="160"/>
      </w:pPr>
      <w:r>
        <w:rPr>
          <w:color w:val="2A78D6"/>
          <w:sz w:val="25"/>
        </w:rPr>
        <w:t>6.4 Compute</w:t>
      </w:r>
    </w:p>
    <w:tbl>
      <w:tblPr>
        <w:tblW w:w="0" w:type="auto"/>
        <w:jc w:val="center"/>
        <w:tblBorders>
          <w:top w:val="single" w:sz="4" w:space="0" w:color="D9D8D2"/>
          <w:left w:val="single" w:sz="4" w:space="0" w:color="D9D8D2"/>
          <w:bottom w:val="single" w:sz="4" w:space="0" w:color="D9D8D2"/>
          <w:right w:val="single" w:sz="4" w:space="0" w:color="D9D8D2"/>
          <w:insideH w:val="single" w:sz="4" w:space="0" w:color="D9D8D2"/>
          <w:insideV w:val="single" w:sz="4" w:space="0" w:color="D9D8D2"/>
        </w:tblBorders>
        <w:tblLook w:val="04A0" w:firstRow="1" w:lastRow="0" w:firstColumn="1" w:lastColumn="0" w:noHBand="0" w:noVBand="1"/>
      </w:tblPr>
      <w:tblGrid>
        <w:gridCol w:w="4464"/>
        <w:gridCol w:w="4464"/>
      </w:tblGrid>
      <w:tr w:rsidR="00DC6735" w14:paraId="2085410B" w14:textId="77777777">
        <w:trPr>
          <w:jc w:val="center"/>
        </w:trPr>
        <w:tc>
          <w:tcPr>
            <w:tcW w:w="4464" w:type="dxa"/>
            <w:shd w:val="clear" w:color="auto" w:fill="2A78D6"/>
          </w:tcPr>
          <w:p w14:paraId="08C2EB4B" w14:textId="77777777" w:rsidR="00DC6735" w:rsidRDefault="00DC6735">
            <w:pPr>
              <w:spacing w:after="40"/>
              <w:rPr>
                <w:rFonts w:hint="eastAsia"/>
              </w:rPr>
            </w:pPr>
          </w:p>
        </w:tc>
        <w:tc>
          <w:tcPr>
            <w:tcW w:w="4464" w:type="dxa"/>
            <w:shd w:val="clear" w:color="auto" w:fill="2A78D6"/>
          </w:tcPr>
          <w:p w14:paraId="38C9606E" w14:textId="77777777" w:rsidR="00DC6735" w:rsidRDefault="00DC6735">
            <w:pPr>
              <w:spacing w:after="40"/>
              <w:rPr>
                <w:rFonts w:hint="eastAsia"/>
              </w:rPr>
            </w:pPr>
          </w:p>
        </w:tc>
      </w:tr>
      <w:tr w:rsidR="00DC6735" w14:paraId="6D7D6F04" w14:textId="77777777">
        <w:trPr>
          <w:jc w:val="center"/>
        </w:trPr>
        <w:tc>
          <w:tcPr>
            <w:tcW w:w="4464" w:type="dxa"/>
            <w:shd w:val="clear" w:color="auto" w:fill="FCFCFB"/>
          </w:tcPr>
          <w:p w14:paraId="331CF7BF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Total steps</w:t>
            </w:r>
          </w:p>
        </w:tc>
        <w:tc>
          <w:tcPr>
            <w:tcW w:w="4464" w:type="dxa"/>
            <w:shd w:val="clear" w:color="auto" w:fill="FCFCFB"/>
          </w:tcPr>
          <w:p w14:paraId="79592F6D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384 (128/epoch × 3 epochs)</w:t>
            </w:r>
          </w:p>
        </w:tc>
      </w:tr>
      <w:tr w:rsidR="00DC6735" w14:paraId="5EC52416" w14:textId="77777777">
        <w:trPr>
          <w:jc w:val="center"/>
        </w:trPr>
        <w:tc>
          <w:tcPr>
            <w:tcW w:w="4464" w:type="dxa"/>
            <w:shd w:val="clear" w:color="auto" w:fill="F2F2EF"/>
          </w:tcPr>
          <w:p w14:paraId="0018E791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Total training time</w:t>
            </w:r>
          </w:p>
        </w:tc>
        <w:tc>
          <w:tcPr>
            <w:tcW w:w="4464" w:type="dxa"/>
            <w:shd w:val="clear" w:color="auto" w:fill="F2F2EF"/>
          </w:tcPr>
          <w:p w14:paraId="56784392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 xml:space="preserve">52,860 s ≈ </w:t>
            </w:r>
            <w:r>
              <w:rPr>
                <w:b/>
                <w:sz w:val="19"/>
              </w:rPr>
              <w:t>14.7 hours</w:t>
            </w:r>
          </w:p>
        </w:tc>
      </w:tr>
      <w:tr w:rsidR="00DC6735" w14:paraId="75F0C65D" w14:textId="77777777">
        <w:trPr>
          <w:jc w:val="center"/>
        </w:trPr>
        <w:tc>
          <w:tcPr>
            <w:tcW w:w="4464" w:type="dxa"/>
            <w:shd w:val="clear" w:color="auto" w:fill="FCFCFB"/>
          </w:tcPr>
          <w:p w14:paraId="4C06449F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Throughput</w:t>
            </w:r>
          </w:p>
        </w:tc>
        <w:tc>
          <w:tcPr>
            <w:tcW w:w="4464" w:type="dxa"/>
            <w:shd w:val="clear" w:color="auto" w:fill="FCFCFB"/>
          </w:tcPr>
          <w:p w14:paraId="27835F6E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0.347 samples/s, 0.007 steps/s</w:t>
            </w:r>
          </w:p>
        </w:tc>
      </w:tr>
      <w:tr w:rsidR="00DC6735" w14:paraId="6EE38DB9" w14:textId="77777777">
        <w:trPr>
          <w:jc w:val="center"/>
        </w:trPr>
        <w:tc>
          <w:tcPr>
            <w:tcW w:w="4464" w:type="dxa"/>
            <w:shd w:val="clear" w:color="auto" w:fill="F2F2EF"/>
          </w:tcPr>
          <w:p w14:paraId="30F6E1F6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Total FLOs</w:t>
            </w:r>
          </w:p>
        </w:tc>
        <w:tc>
          <w:tcPr>
            <w:tcW w:w="4464" w:type="dxa"/>
            <w:shd w:val="clear" w:color="auto" w:fill="F2F2EF"/>
          </w:tcPr>
          <w:p w14:paraId="0A475DBB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4.09 × 10¹⁷</w:t>
            </w:r>
          </w:p>
        </w:tc>
      </w:tr>
      <w:tr w:rsidR="00DC6735" w14:paraId="1911FE24" w14:textId="77777777">
        <w:trPr>
          <w:jc w:val="center"/>
        </w:trPr>
        <w:tc>
          <w:tcPr>
            <w:tcW w:w="4464" w:type="dxa"/>
            <w:shd w:val="clear" w:color="auto" w:fill="FCFCFB"/>
          </w:tcPr>
          <w:p w14:paraId="2AC0D44A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Checkpointing</w:t>
            </w:r>
          </w:p>
        </w:tc>
        <w:tc>
          <w:tcPr>
            <w:tcW w:w="4464" w:type="dxa"/>
            <w:shd w:val="clear" w:color="auto" w:fill="FCFCFB"/>
          </w:tcPr>
          <w:p w14:paraId="429CEBE1" w14:textId="77777777" w:rsidR="00DC6735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every epoch, last 2 kept</w:t>
            </w:r>
          </w:p>
        </w:tc>
      </w:tr>
    </w:tbl>
    <w:p w14:paraId="624F7807" w14:textId="77777777" w:rsidR="00DC6735" w:rsidRDefault="00DC6735">
      <w:pPr>
        <w:spacing w:after="80"/>
        <w:rPr>
          <w:rFonts w:hint="eastAsia"/>
        </w:rPr>
      </w:pPr>
    </w:p>
    <w:p w14:paraId="1DBC934A" w14:textId="77777777" w:rsidR="00DC6735" w:rsidRDefault="00000000">
      <w:pPr>
        <w:spacing w:after="160"/>
        <w:rPr>
          <w:rFonts w:hint="eastAsia"/>
        </w:rPr>
      </w:pPr>
      <w:r>
        <w:lastRenderedPageBreak/>
        <w:t>A single L4 GPU, fp16 + gradient checkpointing, pushing an effective batch of 48 through 1,024-token sequences for ~14.7 hours to complete 3 epochs over the 6,109-record set — consistent with a modest, single-GPU LoRA fine-tune rather than a large-scale run.</w:t>
      </w:r>
    </w:p>
    <w:p w14:paraId="666B4331" w14:textId="77777777" w:rsidR="00DC6735" w:rsidRDefault="00000000">
      <w:pPr>
        <w:pStyle w:val="Heading2"/>
        <w:spacing w:before="280" w:after="160"/>
      </w:pPr>
      <w:r>
        <w:rPr>
          <w:color w:val="0B0B0B"/>
          <w:sz w:val="30"/>
        </w:rPr>
        <w:t>7. Notes and caveats</w:t>
      </w:r>
    </w:p>
    <w:p w14:paraId="3BFD8951" w14:textId="77777777" w:rsidR="00DC6735" w:rsidRDefault="00000000">
      <w:pPr>
        <w:pStyle w:val="ListBullet"/>
        <w:spacing w:after="80"/>
        <w:rPr>
          <w:rFonts w:hint="eastAsia"/>
        </w:rPr>
      </w:pPr>
      <w:r>
        <w:rPr>
          <w:b/>
        </w:rPr>
        <w:t>Source-to-dataset reconciliation is exact.</w:t>
      </w:r>
      <w:r>
        <w:t xml:space="preserve"> The source folder's 6,290 </w:t>
      </w:r>
      <w:r>
        <w:rPr>
          <w:rFonts w:ascii="Consolas" w:hAnsi="Consolas"/>
          <w:color w:val="8A2B06"/>
          <w:sz w:val="20"/>
        </w:rPr>
        <w:t>_input.json</w:t>
      </w:r>
      <w:r>
        <w:t xml:space="preserve"> files include exactly one without a matching </w:t>
      </w:r>
      <w:r>
        <w:rPr>
          <w:rFonts w:ascii="Consolas" w:hAnsi="Consolas"/>
          <w:color w:val="8A2B06"/>
          <w:sz w:val="20"/>
        </w:rPr>
        <w:t>_response.json</w:t>
      </w:r>
      <w:r>
        <w:t>; the remaining 6,289 pairs match the raw compiled dataset record-for-record. §3's job/document breakdown can be read as an exact ledger for the raw dataset, not an approximation.</w:t>
      </w:r>
    </w:p>
    <w:p w14:paraId="0889AC17" w14:textId="77777777" w:rsidR="00DC6735" w:rsidRDefault="00000000">
      <w:pPr>
        <w:pStyle w:val="ListBullet"/>
        <w:spacing w:after="80"/>
        <w:rPr>
          <w:rFonts w:hint="eastAsia"/>
        </w:rPr>
      </w:pPr>
      <w:r>
        <w:rPr>
          <w:b/>
        </w:rPr>
        <w:t>`job.json`'s declared `financial_table_count` (6,260 total) undercounts the actual labeled files on disk (6,290) by 30.</w:t>
      </w:r>
      <w:r>
        <w:t xml:space="preserve"> A handful of jobs have more </w:t>
      </w:r>
      <w:r>
        <w:rPr>
          <w:rFonts w:ascii="Consolas" w:hAnsi="Consolas"/>
          <w:color w:val="8A2B06"/>
          <w:sz w:val="20"/>
        </w:rPr>
        <w:t>_input.json</w:t>
      </w:r>
      <w:r>
        <w:t>/</w:t>
      </w:r>
      <w:r>
        <w:rPr>
          <w:rFonts w:ascii="Consolas" w:hAnsi="Consolas"/>
          <w:color w:val="8A2B06"/>
          <w:sz w:val="20"/>
        </w:rPr>
        <w:t>_response.json</w:t>
      </w:r>
      <w:r>
        <w:t xml:space="preserve"> pairs present than their own metadata declares — immaterial to the totals but worth knowing if reconciling job-by-job.</w:t>
      </w:r>
    </w:p>
    <w:p w14:paraId="249BA2A8" w14:textId="77777777" w:rsidR="00DC6735" w:rsidRDefault="00000000">
      <w:pPr>
        <w:pStyle w:val="ListBullet"/>
        <w:spacing w:after="80"/>
        <w:rPr>
          <w:rFonts w:hint="eastAsia"/>
        </w:rPr>
      </w:pPr>
      <w:r>
        <w:rPr>
          <w:b/>
        </w:rPr>
        <w:t>3 documents were processed twice</w:t>
      </w:r>
      <w:r>
        <w:t xml:space="preserve"> (</w:t>
      </w:r>
      <w:r>
        <w:rPr>
          <w:rFonts w:ascii="Consolas" w:hAnsi="Consolas"/>
          <w:color w:val="8A2B06"/>
          <w:sz w:val="20"/>
        </w:rPr>
        <w:t>EQUITA Group S.p.A._Italian_2025.docx</w:t>
      </w:r>
      <w:r>
        <w:t xml:space="preserve">, </w:t>
      </w:r>
      <w:r>
        <w:rPr>
          <w:rFonts w:ascii="Consolas" w:hAnsi="Consolas"/>
          <w:color w:val="8A2B06"/>
          <w:sz w:val="20"/>
        </w:rPr>
        <w:t>Ringmetall SE - 2025_German.docx</w:t>
      </w:r>
      <w:r>
        <w:t>, and one unnamed job pair) under separate job IDs; their table counts in §3.2/3.3 sum both runs and may mildly overstate unique-table coverage for those three documents specifically. Immaterial to corpus-wide totals.</w:t>
      </w:r>
    </w:p>
    <w:p w14:paraId="01BBD8A2" w14:textId="77777777" w:rsidR="00DC6735" w:rsidRDefault="00000000">
      <w:pPr>
        <w:pStyle w:val="ListBullet"/>
        <w:spacing w:after="80"/>
        <w:rPr>
          <w:rFonts w:hint="eastAsia"/>
        </w:rPr>
      </w:pPr>
      <w:r>
        <w:rPr>
          <w:b/>
        </w:rPr>
        <w:t>2 jobs are unrelated QA runs</w:t>
      </w:r>
      <w:r>
        <w:t xml:space="preserve"> (extraction-only, </w:t>
      </w:r>
      <w:r>
        <w:rPr>
          <w:rFonts w:ascii="Consolas" w:hAnsi="Consolas"/>
          <w:color w:val="8A2B06"/>
          <w:sz w:val="20"/>
        </w:rPr>
        <w:t>classify_table: false</w:t>
      </w:r>
      <w:r>
        <w:t>, same PagSeguro 20-F test file) and contribute zero rows to the training set.</w:t>
      </w:r>
    </w:p>
    <w:p w14:paraId="1E726AE9" w14:textId="77777777" w:rsidR="00DC6735" w:rsidRDefault="00000000">
      <w:pPr>
        <w:pStyle w:val="ListBullet"/>
        <w:spacing w:after="80"/>
        <w:rPr>
          <w:rFonts w:hint="eastAsia"/>
        </w:rPr>
      </w:pPr>
      <w:r>
        <w:rPr>
          <w:b/>
        </w:rPr>
        <w:t>Open-vocabulary `table_type` taxonomy (2,232 distinct strings)</w:t>
      </w:r>
      <w:r>
        <w:t xml:space="preserve"> means many specific types are represented by only a handful of examples — a candidate area for further label normalization if per-type classification accuracy matters more than overall structure/row-type accuracy.</w:t>
      </w:r>
    </w:p>
    <w:p w14:paraId="267C3EFF" w14:textId="77777777" w:rsidR="00DC6735" w:rsidRDefault="00000000">
      <w:pPr>
        <w:pStyle w:val="ListBullet"/>
        <w:spacing w:after="80"/>
        <w:rPr>
          <w:rFonts w:hint="eastAsia"/>
        </w:rPr>
      </w:pPr>
      <w:r>
        <w:rPr>
          <w:b/>
        </w:rPr>
        <w:t>Trainer-reported `train_loss` (0.206) is not the converged loss</w:t>
      </w:r>
      <w:r>
        <w:t xml:space="preserve"> — it's an unweighted average across all logged steps, including the initial warmup spike (loss ~4.3 for the first ~15 steps). The epoch-3 mean of ~0.027 (§6.2) better reflects the final checkpoint's fit to the training data. No held-out evaluation set was used (</w:t>
      </w:r>
      <w:r>
        <w:rPr>
          <w:rFonts w:ascii="Consolas" w:hAnsi="Consolas"/>
          <w:color w:val="8A2B06"/>
          <w:sz w:val="20"/>
        </w:rPr>
        <w:t>eval_strategy: no</w:t>
      </w:r>
      <w:r>
        <w:t>) — all reported loss is training loss, so it speaks to fit, not generalization.</w:t>
      </w:r>
    </w:p>
    <w:p w14:paraId="078978A8" w14:textId="77777777" w:rsidR="00DC6735" w:rsidRDefault="00000000">
      <w:pPr>
        <w:spacing w:after="160"/>
        <w:rPr>
          <w:rFonts w:hint="eastAsia"/>
        </w:rPr>
      </w:pPr>
      <w:r>
        <w:t xml:space="preserve">7. Full raw statistics backing this report are in </w:t>
      </w:r>
      <w:r>
        <w:rPr>
          <w:rFonts w:ascii="Consolas" w:hAnsi="Consolas"/>
          <w:color w:val="8A2B06"/>
          <w:sz w:val="20"/>
        </w:rPr>
        <w:t>report_assets/stats.json</w:t>
      </w:r>
      <w:r>
        <w:t xml:space="preserve">; regenerate with </w:t>
      </w:r>
      <w:r>
        <w:rPr>
          <w:rFonts w:ascii="Consolas" w:hAnsi="Consolas"/>
          <w:color w:val="8A2B06"/>
          <w:sz w:val="20"/>
        </w:rPr>
        <w:t>report_assets/analyze.py</w:t>
      </w:r>
      <w:r>
        <w:t xml:space="preserve"> (corpus + dataset stats), </w:t>
      </w:r>
      <w:r>
        <w:rPr>
          <w:rFonts w:ascii="Consolas" w:hAnsi="Consolas"/>
          <w:color w:val="8A2B06"/>
          <w:sz w:val="20"/>
        </w:rPr>
        <w:t>report_assets/chart_gen.py</w:t>
      </w:r>
      <w:r>
        <w:t xml:space="preserve"> (dataset charts), and </w:t>
      </w:r>
      <w:r>
        <w:rPr>
          <w:rFonts w:ascii="Consolas" w:hAnsi="Consolas"/>
          <w:color w:val="8A2B06"/>
          <w:sz w:val="20"/>
        </w:rPr>
        <w:t>report_assets/train_chart_gen.py</w:t>
      </w:r>
      <w:r>
        <w:t xml:space="preserve"> (training-run charts).</w:t>
      </w:r>
    </w:p>
    <w:sectPr w:rsidR="00DC6735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1971753">
    <w:abstractNumId w:val="8"/>
  </w:num>
  <w:num w:numId="2" w16cid:durableId="670260634">
    <w:abstractNumId w:val="6"/>
  </w:num>
  <w:num w:numId="3" w16cid:durableId="577251600">
    <w:abstractNumId w:val="5"/>
  </w:num>
  <w:num w:numId="4" w16cid:durableId="1847860344">
    <w:abstractNumId w:val="4"/>
  </w:num>
  <w:num w:numId="5" w16cid:durableId="944271084">
    <w:abstractNumId w:val="7"/>
  </w:num>
  <w:num w:numId="6" w16cid:durableId="1432777229">
    <w:abstractNumId w:val="3"/>
  </w:num>
  <w:num w:numId="7" w16cid:durableId="1931623916">
    <w:abstractNumId w:val="2"/>
  </w:num>
  <w:num w:numId="8" w16cid:durableId="1425422889">
    <w:abstractNumId w:val="1"/>
  </w:num>
  <w:num w:numId="9" w16cid:durableId="1056928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2745C"/>
    <w:rsid w:val="00AA1D8D"/>
    <w:rsid w:val="00B47730"/>
    <w:rsid w:val="00CB0664"/>
    <w:rsid w:val="00DC6735"/>
    <w:rsid w:val="00E20C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74FA10"/>
  <w14:defaultImageDpi w14:val="300"/>
  <w15:docId w15:val="{731B0E00-5D2A-405D-B16A-35BC35C4D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1821</Words>
  <Characters>11114</Characters>
  <Application>Microsoft Office Word</Application>
  <DocSecurity>0</DocSecurity>
  <Lines>396</Lines>
  <Paragraphs>300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Mandar Ukrulkar</cp:lastModifiedBy>
  <cp:revision>3</cp:revision>
  <cp:lastPrinted>2026-07-24T10:23:00Z</cp:lastPrinted>
  <dcterms:created xsi:type="dcterms:W3CDTF">2013-12-23T23:15:00Z</dcterms:created>
  <dcterms:modified xsi:type="dcterms:W3CDTF">2026-07-24T10:23:00Z</dcterms:modified>
  <cp:category/>
</cp:coreProperties>
</file>