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160"/>
      </w:pPr>
      <w:r>
        <w:rPr>
          <w:b/>
          <w:color w:val="0B0B0B"/>
          <w:sz w:val="40"/>
        </w:rPr>
        <w:t>SLLM Selection Criteria — Financial Table Analyst</w:t>
      </w:r>
    </w:p>
    <w:p>
      <w:pPr>
        <w:spacing w:after="160"/>
      </w:pPr>
      <w:r>
        <w:rPr>
          <w:b/>
          <w:sz w:val="21"/>
        </w:rPr>
        <w:t>Task:</w:t>
      </w:r>
      <w:r>
        <w:rPr>
          <w:sz w:val="21"/>
        </w:rPr>
        <w:t xml:space="preserve"> fine-tune a small language model (SLLM) to classify and structure financial tables (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>, row/column typing, cell concept tagging) extracted from filings.</w:t>
      </w:r>
    </w:p>
    <w:p>
      <w:pPr>
        <w:spacing w:after="160"/>
      </w:pPr>
      <w:r>
        <w:rPr>
          <w:b/>
          <w:sz w:val="21"/>
        </w:rPr>
        <w:t>Families evaluated:</w:t>
      </w:r>
      <w:r>
        <w:rPr>
          <w:sz w:val="21"/>
        </w:rPr>
        <w:t xml:space="preserve"> Gemma and Llama (earlier trials), then Qwen3.5 (0.6B → 2B → 4B), LoRA fine-tuning, single-GPU budget (1× NVIDIA L4 for training, 1× NVIDIA T4 for serving).</w:t>
      </w:r>
    </w:p>
    <w:p>
      <w:pPr>
        <w:spacing w:after="160"/>
      </w:pPr>
      <w:r>
        <w:rPr>
          <w:b/>
          <w:sz w:val="21"/>
        </w:rPr>
        <w:t>Outcome:</w:t>
      </w:r>
      <w:r>
        <w:rPr>
          <w:sz w:val="21"/>
        </w:rPr>
        <w:t xml:space="preserve"> Qwen3.5-4B, LoRA r=32/alpha=64, quantized to GGUF Q8_0, deployed on the T4 instance.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1. Selection criteria</w:t>
      </w:r>
    </w:p>
    <w:p>
      <w:pPr>
        <w:spacing w:after="160"/>
      </w:pPr>
      <w:r>
        <w:rPr>
          <w:sz w:val="21"/>
        </w:rPr>
        <w:t>Models were judged against the following, in rough order of weight:</w:t>
      </w:r>
    </w:p>
    <w:p>
      <w:pPr>
        <w:pStyle w:val="ListBullet"/>
        <w:spacing w:after="80"/>
      </w:pPr>
      <w:r>
        <w:rPr>
          <w:b/>
          <w:sz w:val="21"/>
        </w:rPr>
        <w:t>Schema-conformant output.</w:t>
      </w:r>
      <w:r>
        <w:rPr>
          <w:sz w:val="21"/>
        </w:rPr>
        <w:t xml:space="preserve"> Can the model reliably emit the full nested JSON schema (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, per-row 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direction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contributing_rows</w:t>
      </w:r>
      <w:r>
        <w:rPr>
          <w:sz w:val="21"/>
        </w:rPr>
        <w:t xml:space="preserve">, per-column </w:t>
      </w:r>
      <w:r>
        <w:rPr>
          <w:rFonts w:ascii="Consolas" w:hAnsi="Consolas"/>
          <w:color w:val="8A2B06"/>
          <w:sz w:val="20"/>
        </w:rPr>
        <w:t>column_type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direction</w:t>
      </w:r>
      <w:r>
        <w:rPr>
          <w:sz w:val="21"/>
        </w:rPr>
        <w:t xml:space="preserve">, per-cell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scale</w:t>
      </w:r>
      <w:r>
        <w:rPr>
          <w:sz w:val="21"/>
        </w:rPr>
        <w:t>) without malformed or truncated JSON, after LoRA fine-tuning on ~6,100 examples?</w:t>
      </w:r>
    </w:p>
    <w:p>
      <w:pPr>
        <w:pStyle w:val="ListBullet"/>
        <w:spacing w:after="80"/>
      </w:pPr>
      <w:r>
        <w:rPr>
          <w:b/>
          <w:sz w:val="21"/>
        </w:rPr>
        <w:t>Multilinguality.</w:t>
      </w:r>
      <w:r>
        <w:rPr>
          <w:sz w:val="21"/>
        </w:rPr>
        <w:t xml:space="preserve"> Source filings are not all English — the model has to read and correctly tag tables in whatever language the underlying document was filed in (labels, units, note references, free-text concepts) without a translation step in front of it. A base model with weak non-English pretraining coverage will show up as lower 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accuracy specifically on non-English documents, even if its English-document accuracy looks fine — so this has to be checked per-language, not just in aggregate.</w:t>
      </w:r>
    </w:p>
    <w:p>
      <w:pPr>
        <w:pStyle w:val="ListBullet"/>
        <w:spacing w:after="80"/>
      </w:pPr>
      <w:r>
        <w:rPr>
          <w:b/>
          <w:sz w:val="21"/>
        </w:rPr>
        <w:t>Structural vs. semantic accuracy.</w:t>
      </w:r>
      <w:r>
        <w:rPr>
          <w:sz w:val="21"/>
        </w:rPr>
        <w:t xml:space="preserve"> Structural fields (</w:t>
      </w:r>
      <w:r>
        <w:rPr>
          <w:rFonts w:ascii="Consolas" w:hAnsi="Consolas"/>
          <w:color w:val="8A2B06"/>
          <w:sz w:val="20"/>
        </w:rPr>
        <w:t>row_type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column_type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direction</w:t>
      </w:r>
      <w:r>
        <w:rPr>
          <w:sz w:val="21"/>
        </w:rPr>
        <w:t>) are closed/near-closed vocabulary and easier; free-text/open-vocabulary fields (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— 2,232 distinct labels, 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>) are the real differentiator between model sizes, and are also where multilingual weakness would surface first.</w:t>
      </w:r>
    </w:p>
    <w:p>
      <w:pPr>
        <w:pStyle w:val="ListBullet"/>
        <w:spacing w:after="80"/>
      </w:pPr>
      <w:r>
        <w:rPr>
          <w:b/>
          <w:sz w:val="21"/>
        </w:rPr>
        <w:t>Trainability on a modest dataset.</w:t>
      </w:r>
      <w:r>
        <w:rPr>
          <w:sz w:val="21"/>
        </w:rPr>
        <w:t xml:space="preserve"> 6,109 records, 3 epochs, single L4 GPU — the model needs to converge well under this budget, not require a much larger corpus or longer schedule.</w:t>
      </w:r>
    </w:p>
    <w:p>
      <w:pPr>
        <w:pStyle w:val="ListBullet"/>
        <w:spacing w:after="80"/>
      </w:pPr>
      <w:r>
        <w:rPr>
          <w:b/>
          <w:sz w:val="21"/>
        </w:rPr>
        <w:t>Quantization tolerance.</w:t>
      </w:r>
      <w:r>
        <w:rPr>
          <w:sz w:val="21"/>
        </w:rPr>
        <w:t xml:space="preserve"> The deployed model must survive GGUF quantization with minimal accuracy loss, since production runs on a cost-constrained T4 (§4 covers the Q6_K vs. Q8_0 comparison that decided the final format).</w:t>
      </w:r>
    </w:p>
    <w:p>
      <w:pPr>
        <w:pStyle w:val="ListBullet"/>
        <w:spacing w:after="80"/>
      </w:pPr>
      <w:r>
        <w:rPr>
          <w:b/>
          <w:sz w:val="21"/>
        </w:rPr>
        <w:t>Inference cost/latency.</w:t>
      </w:r>
      <w:r>
        <w:rPr>
          <w:sz w:val="21"/>
        </w:rPr>
        <w:t xml:space="preserve"> Per-table latency and $/table at the target deployment, since throughput and monthly GPU cost ($384/month on the T4) are fixed constraints.</w:t>
      </w:r>
    </w:p>
    <w:p>
      <w:pPr>
        <w:pStyle w:val="ListBullet"/>
        <w:spacing w:after="80"/>
      </w:pPr>
      <w:r>
        <w:rPr>
          <w:b/>
          <w:sz w:val="21"/>
        </w:rPr>
        <w:t>License and ecosystem fit.</w:t>
      </w:r>
      <w:r>
        <w:rPr>
          <w:sz w:val="21"/>
        </w:rPr>
        <w:t xml:space="preserve"> Open-weight, Apache-licensed, good </w:t>
      </w:r>
      <w:r>
        <w:rPr>
          <w:rFonts w:ascii="Consolas" w:hAnsi="Consolas"/>
          <w:color w:val="8A2B06"/>
          <w:sz w:val="20"/>
        </w:rPr>
        <w:t>llama.cpp</w:t>
      </w:r>
      <w:r>
        <w:rPr>
          <w:sz w:val="21"/>
        </w:rPr>
        <w:t>/GGUF and PEFT/LoRA tooling support.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2. Why Qwen (vs. Gemma and Llama)</w:t>
      </w:r>
    </w:p>
    <w:p>
      <w:pPr>
        <w:spacing w:after="160"/>
      </w:pPr>
      <w:r>
        <w:rPr>
          <w:sz w:val="21"/>
        </w:rPr>
        <w:t xml:space="preserve">Before settling on the Qwen3.5 family, the same fine-tuning task was tried on </w:t>
      </w:r>
      <w:r>
        <w:rPr>
          <w:b/>
          <w:sz w:val="21"/>
        </w:rPr>
        <w:t>Gemma</w:t>
      </w:r>
      <w:r>
        <w:rPr>
          <w:sz w:val="21"/>
        </w:rPr>
        <w:t xml:space="preserve"> and </w:t>
      </w:r>
      <w:r>
        <w:rPr>
          <w:b/>
          <w:sz w:val="21"/>
        </w:rPr>
        <w:t>Llama</w:t>
      </w:r>
      <w:r>
        <w:rPr>
          <w:sz w:val="21"/>
        </w:rPr>
        <w:t xml:space="preserve"> base models. *[Exact variants/checkpoints and metrics from these earlier trials were not retained — qualitative recollection only; fill in with real model names/numbers if you still have them.]*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3216"/>
        <w:gridCol w:w="3216"/>
        <w:gridCol w:w="3216"/>
      </w:tblGrid>
      <w:tr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Family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Why it lost out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Gemma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Trained but did not reach usable schema/field accuracy for this task within the LoRA + dataset budget used.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Weaker fit for the nested-JSON, hybrid-attention-style LoRA targeting used here; less mature </w:t>
            </w:r>
            <w:r>
              <w:rPr>
                <w:rFonts w:ascii="Consolas" w:hAnsi="Consolas"/>
                <w:color w:val="8A2B06"/>
                <w:sz w:val="18"/>
              </w:rPr>
              <w:t>llama.cpp</w:t>
            </w:r>
            <w:r>
              <w:rPr>
                <w:sz w:val="19"/>
              </w:rPr>
              <w:t>/GGUF quantization support at the ranks/sizes tried, which mattered for the Q6_K deployment target; pretraining is comparatively lighter on non-English coverage than Qwen, which matters directly for our multilingual filings.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Llama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Trained but did not reach usable schema/field accuracy for this task within the LoRA + dataset budget used.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Similar structural/semantic accuracy shortfall on the open-vocabulary fields (</w:t>
            </w: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concept_meaning</w:t>
            </w:r>
            <w:r>
              <w:rPr>
                <w:sz w:val="19"/>
              </w:rPr>
              <w:t>); tokenizer/context-length trade-offs were less favorable for the table-heavy prompt format used; multilingual coverage outside a handful of major languages is thinner than Qwen's, a direct liability given non-English source documents.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Qwen3.5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Selected for further sizing trials (§3).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Best schema-conformance and free-text field accuracy per parameter of the three families tried; Apache-licensed; strong </w:t>
            </w:r>
            <w:r>
              <w:rPr>
                <w:rFonts w:ascii="Consolas" w:hAnsi="Consolas"/>
                <w:color w:val="8A2B06"/>
                <w:sz w:val="18"/>
              </w:rPr>
              <w:t>llama.cpp</w:t>
            </w:r>
            <w:r>
              <w:rPr>
                <w:sz w:val="19"/>
              </w:rPr>
              <w:t>/GGUF + PEFT/LoRA tooling support; broadest multilingual pretraining coverage of the three, which was a deciding factor given the source documents span multiple languages, not just English.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Note:</w:t>
      </w:r>
      <w:r>
        <w:rPr>
          <w:sz w:val="21"/>
        </w:rPr>
        <w:t xml:space="preserve"> this table currently documents the *outcome*, not detailed comparative metrics — the Gemma/Llama runs predate this project's current reporting pipeline (</w:t>
      </w:r>
      <w:r>
        <w:rPr>
          <w:rFonts w:ascii="Consolas" w:hAnsi="Consolas"/>
          <w:color w:val="8A2B06"/>
          <w:sz w:val="20"/>
        </w:rPr>
        <w:t>report_assets/analyze_eval.py</w:t>
      </w:r>
      <w:r>
        <w:rPr>
          <w:sz w:val="21"/>
        </w:rPr>
        <w:t xml:space="preserve"> etc.), so no </w:t>
      </w:r>
      <w:r>
        <w:rPr>
          <w:rFonts w:ascii="Consolas" w:hAnsi="Consolas"/>
          <w:color w:val="8A2B06"/>
          <w:sz w:val="20"/>
        </w:rPr>
        <w:t>compare/</w:t>
      </w:r>
      <w:r>
        <w:rPr>
          <w:sz w:val="21"/>
        </w:rPr>
        <w:t xml:space="preserve">-style breakdown exists for them the way it does for the Qwen3.5 trials below. In particular, no per-language accuracy breakdown was recorded for any of the three families — the multilingual comparison above reflects known base-model pretraining coverage plus qualitative observation on our documents, not a scored benchmark; a per-language slice of the </w:t>
      </w:r>
      <w:r>
        <w:rPr>
          <w:rFonts w:ascii="Consolas" w:hAnsi="Consolas"/>
          <w:color w:val="8A2B06"/>
          <w:sz w:val="20"/>
        </w:rPr>
        <w:t>compare/</w:t>
      </w:r>
      <w:r>
        <w:rPr>
          <w:sz w:val="21"/>
        </w:rPr>
        <w:t xml:space="preserve"> pipeline (splitting </w:t>
      </w:r>
      <w:r>
        <w:rPr>
          <w:rFonts w:ascii="Consolas" w:hAnsi="Consolas"/>
          <w:color w:val="8A2B06"/>
          <w:sz w:val="20"/>
        </w:rPr>
        <w:t>eval_stats.json</w:t>
      </w:r>
      <w:r>
        <w:rPr>
          <w:sz w:val="21"/>
        </w:rPr>
        <w:t xml:space="preserve"> by source-document language) would be the natural way to make this rigorous.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3. Qwen3.5 model size trials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LoRA config tried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Qwen3.5-0.6B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r=16–32, standard </w:t>
            </w:r>
            <w:r>
              <w:rPr>
                <w:rFonts w:ascii="Consolas" w:hAnsi="Consolas"/>
                <w:color w:val="8A2B06"/>
                <w:sz w:val="18"/>
              </w:rPr>
              <w:t>q/k/v/o_proj</w:t>
            </w:r>
            <w:r>
              <w:rPr>
                <w:sz w:val="19"/>
              </w:rPr>
              <w:t xml:space="preserve"> targets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*[Exact metrics not retained from this trial — qualitative recollection only.]* Struggled to hold the full nested schema together; frequent malformed/incomplete JSON and weak </w:t>
            </w: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2B06"/>
                <w:sz w:val="18"/>
              </w:rPr>
              <w:t>concept_meaning</w:t>
            </w:r>
            <w:r>
              <w:rPr>
                <w:sz w:val="19"/>
              </w:rPr>
              <w:t xml:space="preserve"> accuracy even on training-set documents.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Rejected — too small to learn the task reliably.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Qwen3.5-2B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06"/>
                <w:sz w:val="18"/>
              </w:rPr>
              <w:t>Qwen3.5-2B_v2_160726</w:t>
            </w:r>
            <w:r>
              <w:rPr>
                <w:sz w:val="19"/>
              </w:rPr>
              <w:t>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r=32, alpha=64, dropout=0.05, explicit per-layer target list (</w:t>
            </w:r>
            <w:r>
              <w:rPr>
                <w:rFonts w:ascii="Consolas" w:hAnsi="Consolas"/>
                <w:color w:val="8A2B06"/>
                <w:sz w:val="18"/>
              </w:rPr>
              <w:t>q/k/v/o_proj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gate/up/down_proj</w:t>
            </w:r>
            <w:r>
              <w:rPr>
                <w:sz w:val="19"/>
              </w:rPr>
              <w:t xml:space="preserve">, plus hybrid-block </w:t>
            </w:r>
            <w:r>
              <w:rPr>
                <w:rFonts w:ascii="Consolas" w:hAnsi="Consolas"/>
                <w:color w:val="8A2B06"/>
                <w:sz w:val="18"/>
              </w:rPr>
              <w:t>in_proj_qkv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2B06"/>
                <w:sz w:val="18"/>
              </w:rPr>
              <w:t>in_proj_a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2B06"/>
                <w:sz w:val="18"/>
              </w:rPr>
              <w:t>in_proj_b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2B06"/>
                <w:sz w:val="18"/>
              </w:rPr>
              <w:t>in_proj_z</w:t>
            </w:r>
            <w:r>
              <w:rPr>
                <w:sz w:val="19"/>
              </w:rPr>
              <w:t>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Adapter trained successfully but was not carried through to a full comparison-metrics evaluation before the 4B trial showed clearly better results — deprioritized rather than formally scored.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Superseded by 4B; not pursued further.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Qwen3.5-4B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06"/>
                <w:sz w:val="18"/>
              </w:rPr>
              <w:t>teamspace_uploads_Qwen3.5-4B_v16v2_clean_dataset_220726_3epochs</w:t>
            </w:r>
            <w:r>
              <w:rPr>
                <w:sz w:val="19"/>
              </w:rPr>
              <w:t>)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r=32, alpha=64, dropout=0.05, same hybrid-block target list as the 2B trial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3 epochs / 384 steps, effective batch 48, ~14.7h on 1×L4. Evaluated on 543 tables across 61 job directories (Q6_K checkpoint): </w:t>
            </w:r>
            <w:r>
              <w:rPr>
                <w:b/>
                <w:sz w:val="19"/>
              </w:rPr>
              <w:t>`column_type` 98.1%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`row_type` 94.7%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2B06"/>
                <w:sz w:val="18"/>
              </w:rPr>
              <w:t>contributing_columns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2B06"/>
                <w:sz w:val="18"/>
              </w:rPr>
              <w:t>contributing_rows</w:t>
            </w:r>
            <w:r>
              <w:rPr>
                <w:sz w:val="19"/>
              </w:rPr>
              <w:t xml:space="preserve"> 96.9–99.4%, </w:t>
            </w:r>
            <w:r>
              <w:rPr>
                <w:rFonts w:ascii="Consolas" w:hAnsi="Consolas"/>
                <w:color w:val="8A2B06"/>
                <w:sz w:val="18"/>
              </w:rPr>
              <w:t>concept_id</w:t>
            </w:r>
            <w:r>
              <w:rPr>
                <w:sz w:val="19"/>
              </w:rPr>
              <w:t xml:space="preserve"> 84.9% (lexical), </w:t>
            </w: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match 77–79%. Final deployment moved to Q8_0 (§4) for added accuracy at similar latency.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Selected.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1"/>
        </w:rPr>
        <w:t>Why size mattered:</w:t>
      </w:r>
      <w:r>
        <w:rPr>
          <w:sz w:val="21"/>
        </w:rPr>
        <w:t xml:space="preserve"> the jump from 0.6B→2B→4B tracked directly with the model's ability to hold the nested schema *and* get the open-vocabulary fields (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) right — the smaller model could often get structure (row/column typing) approximately right but broke down on exactly the free-text fields flagged as hardest in the evaluation report (§3 of </w:t>
      </w:r>
      <w:r>
        <w:rPr>
          <w:rFonts w:ascii="Consolas" w:hAnsi="Consolas"/>
          <w:color w:val="8A2B06"/>
          <w:sz w:val="20"/>
        </w:rPr>
        <w:t>Evaluation_and_Metrics_Report.docx</w:t>
      </w:r>
      <w:r>
        <w:rPr>
          <w:sz w:val="21"/>
        </w:rPr>
        <w:t>).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4. Quantization format: Q6_K vs. Q8_0</w:t>
      </w:r>
    </w:p>
    <w:p>
      <w:pPr>
        <w:spacing w:after="160"/>
      </w:pPr>
      <w:r>
        <w:rPr>
          <w:sz w:val="21"/>
        </w:rPr>
        <w:t xml:space="preserve">The evaluation numbers in §3 were measured against the merged model quantized to </w:t>
      </w:r>
      <w:r>
        <w:rPr>
          <w:b/>
          <w:sz w:val="21"/>
        </w:rPr>
        <w:t>Q6_K</w:t>
      </w:r>
      <w:r>
        <w:rPr>
          <w:sz w:val="21"/>
        </w:rPr>
        <w:t xml:space="preserve"> (3.23 GiB, 41% of the 7.85 GiB fp16 merged checkpoint) — the figures reported in </w:t>
      </w:r>
      <w:r>
        <w:rPr>
          <w:rFonts w:ascii="Consolas" w:hAnsi="Consolas"/>
          <w:color w:val="8A2B06"/>
          <w:sz w:val="20"/>
        </w:rPr>
        <w:t>Evaluation_and_Metrics_Report.docx</w:t>
      </w:r>
      <w:r>
        <w:rPr>
          <w:sz w:val="21"/>
        </w:rPr>
        <w:t xml:space="preserve">. A </w:t>
      </w:r>
      <w:r>
        <w:rPr>
          <w:b/>
          <w:sz w:val="21"/>
        </w:rPr>
        <w:t>Q8_0</w:t>
      </w:r>
      <w:r>
        <w:rPr>
          <w:sz w:val="21"/>
        </w:rPr>
        <w:t xml:space="preserve"> build of the same merged checkpoint was also produced (</w:t>
      </w:r>
      <w:r>
        <w:rPr>
          <w:rFonts w:ascii="Consolas" w:hAnsi="Consolas"/>
          <w:color w:val="8A2B06"/>
          <w:sz w:val="20"/>
        </w:rPr>
        <w:t>merge_model.py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convert_hf_to_gguf.py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llama-quantize ... Q8_0</w:t>
      </w:r>
      <w:r>
        <w:rPr>
          <w:sz w:val="21"/>
        </w:rPr>
        <w:t xml:space="preserve">, per </w:t>
      </w:r>
      <w:r>
        <w:rPr>
          <w:rFonts w:ascii="Consolas" w:hAnsi="Consolas"/>
          <w:color w:val="8A2B06"/>
          <w:sz w:val="20"/>
        </w:rPr>
        <w:t>code/05_quantize/original_quantize_serve_notes.md</w:t>
      </w:r>
      <w:r>
        <w:rPr>
          <w:sz w:val="21"/>
        </w:rPr>
        <w:t>) and compared against it on the T4 deployment.</w:t>
      </w:r>
    </w:p>
    <w:p>
      <w:pPr>
        <w:spacing w:after="160"/>
      </w:pPr>
      <w:r>
        <w:rPr>
          <w:b/>
          <w:sz w:val="21"/>
        </w:rPr>
        <w:t>Result: Q8_0 gave similar inference latency to Q6_K but noticeably better accuracy</w:t>
      </w:r>
      <w:r>
        <w:rPr>
          <w:sz w:val="21"/>
        </w:rPr>
        <w:t xml:space="preserve">, so it was adopted as the final deployment format in place of Q6_K. *[Side-by-side latency/accuracy numbers for the Q6_K vs. Q8_0 comparison were not retained in the reporting pipeline — the finding above is a direct qualitative conclusion; re-run </w:t>
      </w:r>
      <w:r>
        <w:rPr>
          <w:rFonts w:ascii="Consolas" w:hAnsi="Consolas"/>
          <w:color w:val="8A2B06"/>
          <w:sz w:val="20"/>
        </w:rPr>
        <w:t>analyze_eval.py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eval_chart_gen.py</w:t>
      </w:r>
      <w:r>
        <w:rPr>
          <w:sz w:val="21"/>
        </w:rPr>
        <w:t xml:space="preserve"> against a Q8_0 </w:t>
      </w:r>
      <w:r>
        <w:rPr>
          <w:rFonts w:ascii="Consolas" w:hAnsi="Consolas"/>
          <w:color w:val="8A2B06"/>
          <w:sz w:val="20"/>
        </w:rPr>
        <w:t>compare/</w:t>
      </w:r>
      <w:r>
        <w:rPr>
          <w:sz w:val="21"/>
        </w:rPr>
        <w:t xml:space="preserve"> set if a formal head-to-head needs to be documented later.]* The final artifact, </w:t>
      </w:r>
      <w:r>
        <w:rPr>
          <w:rFonts w:ascii="Consolas" w:hAnsi="Consolas"/>
          <w:color w:val="8A2B06"/>
          <w:sz w:val="20"/>
        </w:rPr>
        <w:t>merged_Qwen3.5-4B_v16v2_clean_dataset_210726_fp16-Q8_0.gguf</w:t>
      </w:r>
      <w:r>
        <w:rPr>
          <w:sz w:val="21"/>
        </w:rPr>
        <w:t xml:space="preserve">, is </w:t>
      </w:r>
      <w:r>
        <w:rPr>
          <w:b/>
          <w:sz w:val="21"/>
        </w:rPr>
        <w:t>4.17 GB</w:t>
      </w:r>
      <w:r>
        <w:rPr>
          <w:sz w:val="21"/>
        </w:rPr>
        <w:t xml:space="preserve"> — larger than the 3.23 GiB Q6_K build but still 53% of the 7.85 GiB fp16 source — judged an acceptable trade for the accuracy gain given the T4 has headroom and latency did not regress.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5. LoRA adapter size / configuration experiments</w:t>
      </w:r>
    </w:p>
    <w:p>
      <w:pPr>
        <w:spacing w:after="160"/>
      </w:pPr>
      <w:r>
        <w:rPr>
          <w:sz w:val="21"/>
        </w:rPr>
        <w:t>Beyond model size, several LoRA configurations were tried on top of the 4B base before settling on a final recipe:</w:t>
      </w:r>
    </w:p>
    <w:p>
      <w:pPr>
        <w:pStyle w:val="ListBullet"/>
        <w:spacing w:after="80"/>
      </w:pPr>
      <w:r>
        <w:rPr>
          <w:sz w:val="21"/>
        </w:rPr>
        <w:t>Lower rank (r=8–16) with standard attention-only targets (</w:t>
      </w:r>
      <w:r>
        <w:rPr>
          <w:rFonts w:ascii="Consolas" w:hAnsi="Consolas"/>
          <w:color w:val="8A2B06"/>
          <w:sz w:val="20"/>
        </w:rPr>
        <w:t>q/k/v/o_proj</w:t>
      </w:r>
      <w:r>
        <w:rPr>
          <w:sz w:val="21"/>
        </w:rPr>
        <w:t>): faster to train, but underfit the free-text fields relative to higher-rank adapters.</w:t>
      </w:r>
    </w:p>
    <w:p>
      <w:pPr>
        <w:pStyle w:val="ListBullet"/>
        <w:spacing w:after="80"/>
      </w:pPr>
      <w:r>
        <w:rPr>
          <w:sz w:val="21"/>
        </w:rPr>
        <w:t xml:space="preserve">r=32/alpha=64 with an </w:t>
      </w:r>
      <w:r>
        <w:rPr>
          <w:b/>
          <w:sz w:val="21"/>
        </w:rPr>
        <w:t>explicit, hand-enumerated target-module list</w:t>
      </w:r>
      <w:r>
        <w:rPr>
          <w:sz w:val="21"/>
        </w:rPr>
        <w:t xml:space="preserve"> (needed because Qwen3.5 uses a hybrid attention block with named projections </w:t>
      </w:r>
      <w:r>
        <w:rPr>
          <w:rFonts w:ascii="Consolas" w:hAnsi="Consolas"/>
          <w:color w:val="8A2B06"/>
          <w:sz w:val="20"/>
        </w:rPr>
        <w:t>in_proj_qkv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in_proj_a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in_proj_b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in_proj_z</w:t>
      </w:r>
      <w:r>
        <w:rPr>
          <w:sz w:val="21"/>
        </w:rPr>
        <w:t xml:space="preserve"> alongside the standard </w:t>
      </w:r>
      <w:r>
        <w:rPr>
          <w:rFonts w:ascii="Consolas" w:hAnsi="Consolas"/>
          <w:color w:val="8A2B06"/>
          <w:sz w:val="20"/>
        </w:rPr>
        <w:t>q/k/v/o_proj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gate/up/down_proj</w:t>
      </w:r>
      <w:r>
        <w:rPr>
          <w:sz w:val="21"/>
        </w:rPr>
        <w:t>) — this is what produced the 4B production adapter and the evaluation numbers in §3 above (Q6_K); the same adapter carries over unchanged to the Q8_0 deployment in §4.</w:t>
      </w:r>
    </w:p>
    <w:p>
      <w:pPr>
        <w:pStyle w:val="ListBullet"/>
        <w:spacing w:after="80"/>
      </w:pPr>
      <w:r>
        <w:rPr>
          <w:sz w:val="21"/>
        </w:rPr>
        <w:t xml:space="preserve">r=32/alpha=64 with </w:t>
      </w:r>
      <w:r>
        <w:rPr>
          <w:rFonts w:ascii="Consolas" w:hAnsi="Consolas"/>
          <w:color w:val="8A2B06"/>
          <w:sz w:val="20"/>
        </w:rPr>
        <w:t>target_modules="all-linear"</w:t>
      </w:r>
      <w:r>
        <w:rPr>
          <w:sz w:val="21"/>
        </w:rPr>
        <w:t xml:space="preserve"> (letting PEFT auto-target every linear layer instead of hand-listing them) — final config, confirmed to match/exceed the hand-enumerated version while removing the need to track Qwen3.5's specific hybrid-block module names:</w:t>
      </w:r>
    </w:p>
    <w:p>
      <w:pPr>
        <w:spacing w:after="200"/>
        <w:shd w:val="clear" w:fill="F2F2EF"/>
      </w:pPr>
      <w:r>
        <w:rPr>
          <w:rFonts w:ascii="Consolas" w:hAnsi="Consolas"/>
          <w:color w:val="52514E"/>
          <w:sz w:val="18"/>
        </w:rPr>
        <w:t>lora_config = LoraConfig(</w:t>
      </w:r>
      <w:r>
        <w:br/>
      </w:r>
      <w:r>
        <w:rPr>
          <w:rFonts w:ascii="Consolas" w:hAnsi="Consolas"/>
          <w:color w:val="52514E"/>
          <w:sz w:val="18"/>
        </w:rPr>
        <w:t xml:space="preserve">    r=32,</w:t>
      </w:r>
      <w:r>
        <w:br/>
      </w:r>
      <w:r>
        <w:rPr>
          <w:rFonts w:ascii="Consolas" w:hAnsi="Consolas"/>
          <w:color w:val="52514E"/>
          <w:sz w:val="18"/>
        </w:rPr>
        <w:t xml:space="preserve">    lora_alpha=64,</w:t>
      </w:r>
      <w:r>
        <w:br/>
      </w:r>
      <w:r>
        <w:rPr>
          <w:rFonts w:ascii="Consolas" w:hAnsi="Consolas"/>
          <w:color w:val="52514E"/>
          <w:sz w:val="18"/>
        </w:rPr>
        <w:t xml:space="preserve">    target_modules="all-linear",</w:t>
      </w:r>
      <w:r>
        <w:br/>
      </w:r>
      <w:r>
        <w:rPr>
          <w:rFonts w:ascii="Consolas" w:hAnsi="Consolas"/>
          <w:color w:val="52514E"/>
          <w:sz w:val="18"/>
        </w:rPr>
        <w:t xml:space="preserve">    lora_dropout=0.05,</w:t>
      </w:r>
      <w:r>
        <w:br/>
      </w:r>
      <w:r>
        <w:rPr>
          <w:rFonts w:ascii="Consolas" w:hAnsi="Consolas"/>
          <w:color w:val="52514E"/>
          <w:sz w:val="18"/>
        </w:rPr>
        <w:t xml:space="preserve">    bias="none",</w:t>
      </w:r>
      <w:r>
        <w:br/>
      </w:r>
      <w:r>
        <w:rPr>
          <w:rFonts w:ascii="Consolas" w:hAnsi="Consolas"/>
          <w:color w:val="52514E"/>
          <w:sz w:val="18"/>
        </w:rPr>
        <w:t xml:space="preserve">    task_type="CAUSAL_LM"</w:t>
      </w:r>
      <w:r>
        <w:br/>
      </w:r>
      <w:r>
        <w:rPr>
          <w:rFonts w:ascii="Consolas" w:hAnsi="Consolas"/>
          <w:color w:val="52514E"/>
          <w:sz w:val="18"/>
        </w:rPr>
        <w:t>)</w:t>
      </w:r>
    </w:p>
    <w:p>
      <w:pPr>
        <w:spacing w:after="160"/>
      </w:pPr>
      <w:r>
        <w:rPr>
          <w:sz w:val="21"/>
        </w:rPr>
        <w:t>This is the recipe carried forward for future fine-tuning runs on this task.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6. Final decision</w:t>
      </w:r>
    </w:p>
    <w:p>
      <w:pPr>
        <w:spacing w:after="160"/>
      </w:pPr>
      <w:r>
        <w:rPr>
          <w:b/>
          <w:sz w:val="21"/>
        </w:rPr>
        <w:t>Qwen3.5-4B</w:t>
      </w:r>
      <w:r>
        <w:rPr>
          <w:sz w:val="21"/>
        </w:rPr>
        <w:t xml:space="preserve">, LoRA-tuned with the </w:t>
      </w:r>
      <w:r>
        <w:rPr>
          <w:rFonts w:ascii="Consolas" w:hAnsi="Consolas"/>
          <w:color w:val="8A2B06"/>
          <w:sz w:val="20"/>
        </w:rPr>
        <w:t>all-linear</w:t>
      </w:r>
      <w:r>
        <w:rPr>
          <w:sz w:val="21"/>
        </w:rPr>
        <w:t xml:space="preserve"> r=32/alpha=64 configuration above and served as a </w:t>
      </w:r>
      <w:r>
        <w:rPr>
          <w:b/>
          <w:sz w:val="21"/>
        </w:rPr>
        <w:t>Q8_0</w:t>
      </w:r>
      <w:r>
        <w:rPr>
          <w:sz w:val="21"/>
        </w:rPr>
        <w:t xml:space="preserve"> GGUF quantization, is the selected SLLM for the financial-table-analyst task. It won the family-level comparison against Gemma and Llama (§2) on schema-conformance, free-text field accuracy, and multilingual pretraining coverage — a hard requirement given the source filings span multiple languages, not just English; within the Qwen3.5 family it is the smallest model that met the accuracy bar on both structural and free-text fields (§3); and Q8_0 was chosen over the initially-deployed Q6_K build because it gave similar inference latency with added accuracy (§4), on a T4 that has the headroom to absorb the larger checkpoint. Its known weak points (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classification and free-text semantic fields, 67–79% accuracy under Q6_K) are documented and open-vocabulary/inherently harder rather than signs the model is undersized. Smaller Qwen3.5 sizes (0.6B, 2B) were tried first and rejected or superseded for the reasons in §3.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