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160"/>
      </w:pPr>
      <w:r>
        <w:rPr>
          <w:b/>
          <w:color w:val="0B0B0B"/>
          <w:sz w:val="40"/>
        </w:rPr>
        <w:t>Training a Small LLM for Financial Table Analysis (Qwen3.5-4B)</w:t>
      </w:r>
    </w:p>
    <w:p>
      <w:pPr>
        <w:spacing w:after="160"/>
      </w:pPr>
      <w:r>
        <w:rPr>
          <w:sz w:val="21"/>
        </w:rPr>
        <w:t>This guide walks through, phase by phase, how we turned raw financial DOCX filings into a fine-tuned, quantized, self-hosted 4B-parameter model that classifies and structures financial tables - and how we proved it works by benchmarking it against GPT-4.1 on documents it never saw during training.</w:t>
      </w:r>
    </w:p>
    <w:p>
      <w:pPr>
        <w:spacing w:after="160"/>
      </w:pPr>
      <w:r>
        <w:rPr>
          <w:sz w:val="21"/>
        </w:rPr>
        <w:t xml:space="preserve">The short version: </w:t>
      </w:r>
      <w:r>
        <w:rPr>
          <w:b/>
          <w:sz w:val="21"/>
        </w:rPr>
        <w:t>parse documents -&gt; label tables with a big commercial LLM -&gt; use those labels to fine-tune a small local LLM -&gt; shrink and serve the small LLM -&gt; check that it still agrees with the big LLM on new data.</w:t>
      </w:r>
    </w:p>
    <w:p>
      <w:pPr>
        <w:spacing w:after="160"/>
      </w:pPr>
      <w:r>
        <w:rPr>
          <w:sz w:val="21"/>
        </w:rPr>
        <w:t xml:space="preserve">Everything below maps to a numbered folder under </w:t>
      </w:r>
      <w:r>
        <w:rPr>
          <w:rFonts w:ascii="Consolas" w:hAnsi="Consolas"/>
          <w:color w:val="8A2B06"/>
          <w:sz w:val="20"/>
        </w:rPr>
        <w:t>code/</w:t>
      </w:r>
      <w:r>
        <w:rPr>
          <w:sz w:val="21"/>
        </w:rPr>
        <w:t xml:space="preserve"> in this same directory, so you can open the actual script while reading the explanation.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Phase 1 - Turning DOCX filings into labeled table JSON</w:t>
      </w:r>
    </w:p>
    <w:p>
      <w:pPr>
        <w:spacing w:after="160"/>
      </w:pPr>
      <w:r>
        <w:rPr>
          <w:b/>
          <w:sz w:val="21"/>
        </w:rPr>
        <w:t>Script: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code/01_raw_export/export_table_classification_inputs_filterfin.py</w:t>
      </w:r>
      <w:r>
        <w:rPr>
          <w:sz w:val="21"/>
        </w:rPr>
        <w:t xml:space="preserve"> </w:t>
      </w:r>
      <w:r>
        <w:rPr>
          <w:b/>
          <w:sz w:val="21"/>
        </w:rPr>
        <w:t>Input:</w:t>
      </w:r>
      <w:r>
        <w:rPr>
          <w:sz w:val="21"/>
        </w:rPr>
        <w:t xml:space="preserve"> a folder of </w:t>
      </w:r>
      <w:r>
        <w:rPr>
          <w:rFonts w:ascii="Consolas" w:hAnsi="Consolas"/>
          <w:color w:val="8A2B06"/>
          <w:sz w:val="20"/>
        </w:rPr>
        <w:t>.doc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.docx</w:t>
      </w:r>
      <w:r>
        <w:rPr>
          <w:sz w:val="21"/>
        </w:rPr>
        <w:t xml:space="preserve"> financial filings </w:t>
      </w: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output/&lt;job_id&gt;/classify_&lt;table_id&gt;_input.json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_prompt.json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_response.json</w:t>
      </w:r>
    </w:p>
    <w:p>
      <w:pPr>
        <w:spacing w:after="160"/>
      </w:pPr>
      <w:r>
        <w:rPr>
          <w:sz w:val="21"/>
        </w:rPr>
        <w:t>Every filing contains dozens of tables, and most of them are not financial (tables of contents, glossaries, bullet lists dressed up as tables, etc). Before spending money on GPT-4.1 calls or polluting the training set, this script:</w:t>
      </w:r>
    </w:p>
    <w:p>
      <w:pPr>
        <w:pStyle w:val="ListBullet"/>
        <w:spacing w:after="80"/>
      </w:pPr>
      <w:r>
        <w:rPr>
          <w:b/>
          <w:sz w:val="21"/>
        </w:rPr>
        <w:t>Parses the DOCX</w:t>
      </w:r>
      <w:r>
        <w:rPr>
          <w:sz w:val="21"/>
        </w:rPr>
        <w:t xml:space="preserve"> into a structured document (paragraphs, headings, tables) using the IntelligentDocumentParser app's own parsing stage.</w:t>
      </w:r>
    </w:p>
    <w:p>
      <w:pPr>
        <w:pStyle w:val="ListBullet"/>
        <w:spacing w:after="80"/>
      </w:pPr>
      <w:r>
        <w:rPr>
          <w:b/>
          <w:sz w:val="21"/>
        </w:rPr>
        <w:t>Filters to financial tables only</w:t>
      </w:r>
      <w:r>
        <w:rPr>
          <w:sz w:val="21"/>
        </w:rPr>
        <w:t>, using a deterministic scorer (</w:t>
      </w:r>
      <w:r>
        <w:rPr>
          <w:rFonts w:ascii="Consolas" w:hAnsi="Consolas"/>
          <w:color w:val="8A2B06"/>
          <w:sz w:val="20"/>
        </w:rPr>
        <w:t>is_financial_table</w:t>
      </w:r>
      <w:r>
        <w:rPr>
          <w:sz w:val="21"/>
        </w:rPr>
        <w:t>) - no LLM call needed for this step. It fast-rejects obvious non-financial sections (table of contents, risk factors, glossary, management bios, ...), page-number tables, and bullet lists, then scores the rest on financial keywords (in 20+ languages), currency symbols/codes, the ratio of numeric cells, accounting-style negative numbers in parentheses, percentage signs, and year-like column headers. A table needs a score of 7+ to be kept.</w:t>
      </w:r>
    </w:p>
    <w:p>
      <w:pPr>
        <w:pStyle w:val="ListBullet"/>
        <w:spacing w:after="80"/>
      </w:pPr>
      <w:r>
        <w:rPr>
          <w:b/>
          <w:sz w:val="21"/>
        </w:rPr>
        <w:t>Builds a row/column/cell summary</w:t>
      </w:r>
      <w:r>
        <w:rPr>
          <w:sz w:val="21"/>
        </w:rPr>
        <w:t xml:space="preserve"> for each surviving table (labels, sample values, which rows/columns still need classification) plus surrounding heading context, and turns that into the classification prompt (</w:t>
      </w:r>
      <w:r>
        <w:rPr>
          <w:rFonts w:ascii="Consolas" w:hAnsi="Consolas"/>
          <w:color w:val="8A2B06"/>
          <w:sz w:val="20"/>
        </w:rPr>
        <w:t>classify_&lt;id&gt;_prompt.json</w:t>
      </w:r>
      <w:r>
        <w:rPr>
          <w:sz w:val="21"/>
        </w:rPr>
        <w:t>) and its structured input payload (</w:t>
      </w:r>
      <w:r>
        <w:rPr>
          <w:rFonts w:ascii="Consolas" w:hAnsi="Consolas"/>
          <w:color w:val="8A2B06"/>
          <w:sz w:val="20"/>
        </w:rPr>
        <w:t>classify_&lt;id&gt;_input.json</w:t>
      </w:r>
      <w:r>
        <w:rPr>
          <w:sz w:val="21"/>
        </w:rPr>
        <w:t>).</w:t>
      </w:r>
    </w:p>
    <w:p>
      <w:pPr>
        <w:pStyle w:val="ListBullet"/>
        <w:spacing w:after="80"/>
      </w:pPr>
      <w:r>
        <w:rPr>
          <w:b/>
          <w:sz w:val="21"/>
        </w:rPr>
        <w:t>Sends each table to GPT-4.1 (Azure OpenAI)</w:t>
      </w:r>
      <w:r>
        <w:rPr>
          <w:sz w:val="21"/>
        </w:rPr>
        <w:t xml:space="preserve"> when run with </w:t>
      </w:r>
      <w:r>
        <w:rPr>
          <w:rFonts w:ascii="Consolas" w:hAnsi="Consolas"/>
          <w:color w:val="8A2B06"/>
          <w:sz w:val="20"/>
        </w:rPr>
        <w:t>--classify</w:t>
      </w:r>
      <w:r>
        <w:rPr>
          <w:sz w:val="21"/>
        </w:rPr>
        <w:t>, asking it to label:</w:t>
      </w:r>
    </w:p>
    <w:p>
      <w:pPr>
        <w:pStyle w:val="ListBullet"/>
        <w:spacing w:after="80"/>
      </w:pP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(e.g. "balance sheet", "income statement", ...)</w:t>
      </w:r>
    </w:p>
    <w:p>
      <w:pPr>
        <w:pStyle w:val="ListBullet"/>
        <w:spacing w:after="80"/>
      </w:pPr>
      <w:r>
        <w:rPr>
          <w:sz w:val="21"/>
        </w:rPr>
        <w:t xml:space="preserve">per-row </w:t>
      </w:r>
      <w:r>
        <w:rPr>
          <w:rFonts w:ascii="Consolas" w:hAnsi="Consolas"/>
          <w:color w:val="8A2B06"/>
          <w:sz w:val="20"/>
        </w:rPr>
        <w:t>row_type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direction</w:t>
      </w:r>
      <w:r>
        <w:rPr>
          <w:sz w:val="21"/>
        </w:rPr>
        <w:t>, sign, note references</w:t>
      </w:r>
    </w:p>
    <w:p>
      <w:pPr>
        <w:pStyle w:val="ListBullet"/>
        <w:spacing w:after="80"/>
      </w:pPr>
      <w:r>
        <w:rPr>
          <w:sz w:val="21"/>
        </w:rPr>
        <w:t xml:space="preserve">per-column </w:t>
      </w:r>
      <w:r>
        <w:rPr>
          <w:rFonts w:ascii="Consolas" w:hAnsi="Consolas"/>
          <w:color w:val="8A2B06"/>
          <w:sz w:val="20"/>
        </w:rPr>
        <w:t>column_type</w:t>
      </w:r>
    </w:p>
    <w:p>
      <w:pPr>
        <w:pStyle w:val="ListBullet"/>
        <w:spacing w:after="80"/>
      </w:pPr>
      <w:r>
        <w:rPr>
          <w:sz w:val="21"/>
        </w:rPr>
        <w:t xml:space="preserve">per-cell </w:t>
      </w:r>
      <w:r>
        <w:rPr>
          <w:rFonts w:ascii="Consolas" w:hAnsi="Consolas"/>
          <w:color w:val="8A2B06"/>
          <w:sz w:val="20"/>
        </w:rPr>
        <w:t>reporting_period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scale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scale_multiplier</w:t>
      </w:r>
    </w:p>
    <w:p>
      <w:pPr>
        <w:spacing w:after="160"/>
      </w:pPr>
      <w:r>
        <w:rPr>
          <w:sz w:val="21"/>
        </w:rPr>
        <w:t xml:space="preserve">The response is saved as </w:t>
      </w:r>
      <w:r>
        <w:rPr>
          <w:rFonts w:ascii="Consolas" w:hAnsi="Consolas"/>
          <w:color w:val="8A2B06"/>
          <w:sz w:val="20"/>
        </w:rPr>
        <w:t>classify_&lt;id&gt;_response.json</w:t>
      </w:r>
      <w:r>
        <w:rPr>
          <w:sz w:val="21"/>
        </w:rPr>
        <w:t xml:space="preserve"> right next to the input, so every table has a matching (input, label) pair on disk.</w:t>
      </w:r>
    </w:p>
    <w:p>
      <w:pPr>
        <w:pStyle w:val="ListBullet"/>
        <w:spacing w:after="80"/>
      </w:pPr>
      <w:r>
        <w:rPr>
          <w:sz w:val="21"/>
        </w:rPr>
        <w:t xml:space="preserve">Writes a </w:t>
      </w:r>
      <w:r>
        <w:rPr>
          <w:rFonts w:ascii="Consolas" w:hAnsi="Consolas"/>
          <w:color w:val="8A2B06"/>
          <w:sz w:val="20"/>
        </w:rPr>
        <w:t>job.json</w:t>
      </w:r>
      <w:r>
        <w:rPr>
          <w:sz w:val="21"/>
        </w:rPr>
        <w:t xml:space="preserve"> manifest per document (table counts, whether classification ran).</w:t>
      </w:r>
    </w:p>
    <w:p>
      <w:pPr>
        <w:spacing w:after="160"/>
      </w:pPr>
      <w:r>
        <w:rPr>
          <w:sz w:val="21"/>
        </w:rPr>
        <w:t xml:space="preserve">Everything is keyed by </w:t>
      </w:r>
      <w:r>
        <w:rPr>
          <w:rFonts w:ascii="Consolas" w:hAnsi="Consolas"/>
          <w:color w:val="8A2B06"/>
          <w:sz w:val="20"/>
        </w:rPr>
        <w:t>job_id</w:t>
      </w:r>
      <w:r>
        <w:rPr>
          <w:sz w:val="21"/>
        </w:rPr>
        <w:t xml:space="preserve"> (one folder per document) and </w:t>
      </w:r>
      <w:r>
        <w:rPr>
          <w:rFonts w:ascii="Consolas" w:hAnsi="Consolas"/>
          <w:color w:val="8A2B06"/>
          <w:sz w:val="20"/>
        </w:rPr>
        <w:t>table_id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tbl-&lt;n&gt;</w:t>
      </w:r>
      <w:r>
        <w:rPr>
          <w:sz w:val="21"/>
        </w:rPr>
        <w:t xml:space="preserve"> within that document), which is the join key every later phase uses to line files up.</w:t>
      </w:r>
    </w:p>
    <w:p>
      <w:pPr>
        <w:spacing w:after="160"/>
      </w:pPr>
      <w:r>
        <w:rPr>
          <w:b/>
          <w:sz w:val="21"/>
        </w:rPr>
        <w:t>Note:</w:t>
      </w:r>
      <w:r>
        <w:rPr>
          <w:sz w:val="21"/>
        </w:rPr>
        <w:t xml:space="preserve"> this script only runs from inside the </w:t>
      </w:r>
      <w:r>
        <w:rPr>
          <w:b/>
          <w:sz w:val="21"/>
        </w:rPr>
        <w:t>IntelligentDocumentParser</w:t>
      </w:r>
      <w:r>
        <w:rPr>
          <w:sz w:val="21"/>
        </w:rPr>
        <w:t xml:space="preserve"> repo - it imports that app's parsing/classification/AI-client code directly. The copy in this folder is for reading, not standalone execution.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Phase 2 - Building and cleaning the training dataset</w:t>
      </w:r>
    </w:p>
    <w:p>
      <w:pPr>
        <w:spacing w:after="160"/>
      </w:pPr>
      <w:r>
        <w:rPr>
          <w:b/>
          <w:sz w:val="21"/>
        </w:rPr>
        <w:t>Scripts: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code/02_dataset_build/dataprep_140726.py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dataset_clean.py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canonicalize_dataset.py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analyze_dataset_labels.py</w:t>
      </w:r>
    </w:p>
    <w:p>
      <w:pPr>
        <w:spacing w:after="160"/>
      </w:pPr>
      <w:r>
        <w:rPr>
          <w:sz w:val="21"/>
        </w:rPr>
        <w:t xml:space="preserve">The raw </w:t>
      </w:r>
      <w:r>
        <w:rPr>
          <w:rFonts w:ascii="Consolas" w:hAnsi="Consolas"/>
          <w:color w:val="8A2B06"/>
          <w:sz w:val="20"/>
        </w:rPr>
        <w:t>_input.json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_response.json</w:t>
      </w:r>
      <w:r>
        <w:rPr>
          <w:sz w:val="21"/>
        </w:rPr>
        <w:t xml:space="preserve"> pairs from Phase 1 are not yet a training set - they need to become </w:t>
      </w:r>
      <w:r>
        <w:rPr>
          <w:rFonts w:ascii="Consolas" w:hAnsi="Consolas"/>
          <w:color w:val="8A2B06"/>
          <w:sz w:val="20"/>
        </w:rPr>
        <w:t>{"prompt": ..., "completion": ...}</w:t>
      </w:r>
      <w:r>
        <w:rPr>
          <w:sz w:val="21"/>
        </w:rPr>
        <w:t xml:space="preserve"> records, and the labels need to be cleaned up.</w:t>
      </w:r>
    </w:p>
    <w:p>
      <w:pPr>
        <w:spacing w:after="160"/>
      </w:pPr>
      <w:r>
        <w:rPr>
          <w:b/>
          <w:sz w:val="21"/>
        </w:rPr>
        <w:t>2a. `dataprep_140726.py` - assemble the JSONL</w:t>
      </w:r>
      <w:r>
        <w:rPr>
          <w:sz w:val="21"/>
        </w:rPr>
        <w:t xml:space="preserve"> Walks every job folder, pairs each </w:t>
      </w:r>
      <w:r>
        <w:rPr>
          <w:rFonts w:ascii="Consolas" w:hAnsi="Consolas"/>
          <w:color w:val="8A2B06"/>
          <w:sz w:val="20"/>
        </w:rPr>
        <w:t>classify_&lt;id&gt;_input.json</w:t>
      </w:r>
      <w:r>
        <w:rPr>
          <w:sz w:val="21"/>
        </w:rPr>
        <w:t xml:space="preserve"> with its </w:t>
      </w:r>
      <w:r>
        <w:rPr>
          <w:rFonts w:ascii="Consolas" w:hAnsi="Consolas"/>
          <w:color w:val="8A2B06"/>
          <w:sz w:val="20"/>
        </w:rPr>
        <w:t>classify_&lt;id&gt;_response.json</w:t>
      </w:r>
      <w:r>
        <w:rPr>
          <w:sz w:val="21"/>
        </w:rPr>
        <w:t>, and wraps them in a simple instruction template:</w:t>
      </w:r>
    </w:p>
    <w:p>
      <w:pPr>
        <w:spacing w:after="200"/>
        <w:shd w:val="clear" w:fill="F2F2EF"/>
      </w:pPr>
      <w:r>
        <w:rPr>
          <w:rFonts w:ascii="Consolas" w:hAnsi="Consolas"/>
          <w:color w:val="52514E"/>
          <w:sz w:val="18"/>
        </w:rPr>
        <w:t>### Instruction:</w:t>
      </w:r>
      <w:r>
        <w:br/>
      </w:r>
      <w:r>
        <w:rPr>
          <w:rFonts w:ascii="Consolas" w:hAnsi="Consolas"/>
          <w:color w:val="52514E"/>
          <w:sz w:val="18"/>
        </w:rPr>
        <w:t>You are a financial table structure analyst. Analyze the provided table</w:t>
      </w:r>
      <w:r>
        <w:br/>
      </w:r>
      <w:r>
        <w:rPr>
          <w:rFonts w:ascii="Consolas" w:hAnsi="Consolas"/>
          <w:color w:val="52514E"/>
          <w:sz w:val="18"/>
        </w:rPr>
        <w:t>JSON (row/column/cell matrix) and output JSON object only.</w:t>
      </w:r>
      <w:r>
        <w:br/>
      </w:r>
      <w:r>
        <w:rPr>
          <w:rFonts w:ascii="Consolas" w:hAnsi="Consolas"/>
          <w:color w:val="52514E"/>
          <w:sz w:val="18"/>
        </w:rPr>
        <w:t>### Input:</w:t>
      </w:r>
      <w:r>
        <w:br/>
      </w:r>
      <w:r>
        <w:rPr>
          <w:rFonts w:ascii="Consolas" w:hAnsi="Consolas"/>
          <w:color w:val="52514E"/>
          <w:sz w:val="18"/>
        </w:rPr>
        <w:t>&lt;the table JSON&gt;</w:t>
      </w:r>
      <w:r>
        <w:br/>
      </w:r>
      <w:r>
        <w:rPr>
          <w:rFonts w:ascii="Consolas" w:hAnsi="Consolas"/>
          <w:color w:val="52514E"/>
          <w:sz w:val="18"/>
        </w:rPr>
        <w:t xml:space="preserve"> </w:t>
      </w:r>
      <w:r>
        <w:br/>
      </w:r>
      <w:r>
        <w:rPr>
          <w:rFonts w:ascii="Consolas" w:hAnsi="Consolas"/>
          <w:color w:val="52514E"/>
          <w:sz w:val="18"/>
        </w:rPr>
        <w:t>### Response:</w:t>
      </w:r>
    </w:p>
    <w:p>
      <w:pPr>
        <w:spacing w:after="160"/>
      </w:pPr>
      <w:r>
        <w:rPr>
          <w:sz w:val="21"/>
        </w:rPr>
        <w:t xml:space="preserve">The paired label becomes the </w:t>
      </w:r>
      <w:r>
        <w:rPr>
          <w:rFonts w:ascii="Consolas" w:hAnsi="Consolas"/>
          <w:color w:val="8A2B06"/>
          <w:sz w:val="20"/>
        </w:rPr>
        <w:t>completion</w:t>
      </w:r>
      <w:r>
        <w:rPr>
          <w:sz w:val="21"/>
        </w:rPr>
        <w:t xml:space="preserve"> (compact single-line JSON). Result: one big </w:t>
      </w:r>
      <w:r>
        <w:rPr>
          <w:rFonts w:ascii="Consolas" w:hAnsi="Consolas"/>
          <w:color w:val="8A2B06"/>
          <w:sz w:val="20"/>
        </w:rPr>
        <w:t>.jsonl</w:t>
      </w:r>
      <w:r>
        <w:rPr>
          <w:sz w:val="21"/>
        </w:rPr>
        <w:t xml:space="preserve"> file, one line per table.</w:t>
      </w:r>
    </w:p>
    <w:p>
      <w:pPr>
        <w:spacing w:after="160"/>
      </w:pPr>
      <w:r>
        <w:rPr>
          <w:b/>
          <w:sz w:val="21"/>
        </w:rPr>
        <w:t>2b. `dataset_clean.py` - fix labeling inconsistencies</w:t>
      </w:r>
      <w:r>
        <w:rPr>
          <w:sz w:val="21"/>
        </w:rPr>
        <w:t xml:space="preserve"> GPT-4.1 didn't always answer in exactly the same JSON shape. This step:</w:t>
      </w:r>
    </w:p>
    <w:p>
      <w:pPr>
        <w:pStyle w:val="ListBullet"/>
        <w:spacing w:after="80"/>
      </w:pPr>
      <w:r>
        <w:rPr>
          <w:sz w:val="21"/>
        </w:rPr>
        <w:t>Expands an abbreviated key schema (</w:t>
      </w:r>
      <w:r>
        <w:rPr>
          <w:rFonts w:ascii="Consolas" w:hAnsi="Consolas"/>
          <w:color w:val="8A2B06"/>
          <w:sz w:val="20"/>
        </w:rPr>
        <w:t>tt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r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c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cs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v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cf</w:t>
      </w:r>
      <w:r>
        <w:rPr>
          <w:sz w:val="21"/>
        </w:rPr>
        <w:t>, ...) that ~100 records used, back to the full field names, so the model only ever sees one output format.</w:t>
      </w:r>
    </w:p>
    <w:p>
      <w:pPr>
        <w:pStyle w:val="ListBullet"/>
        <w:spacing w:after="80"/>
      </w:pPr>
      <w:r>
        <w:rPr>
          <w:sz w:val="21"/>
        </w:rPr>
        <w:t xml:space="preserve">Repairs a handful of records where cell data leaked out as stray top-level numeric keys instead of living inside </w:t>
      </w:r>
      <w:r>
        <w:rPr>
          <w:rFonts w:ascii="Consolas" w:hAnsi="Consolas"/>
          <w:color w:val="8A2B06"/>
          <w:sz w:val="20"/>
        </w:rPr>
        <w:t>cells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sz w:val="21"/>
        </w:rPr>
        <w:t xml:space="preserve">Drops genuinely broken records (null 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>, row/column counts that don't match the input).</w:t>
      </w:r>
    </w:p>
    <w:p>
      <w:pPr>
        <w:pStyle w:val="ListBullet"/>
        <w:spacing w:after="80"/>
      </w:pPr>
      <w:r>
        <w:rPr>
          <w:b/>
          <w:sz w:val="21"/>
        </w:rPr>
        <w:t>Deduplicates</w:t>
      </w:r>
      <w:r>
        <w:rPr>
          <w:sz w:val="21"/>
        </w:rPr>
        <w:t>: a number of tables were accidentally labeled twice by two independent passes. Only the higher-confidence completion per unique prompt is kept (scored by mean confidence across all fields), so the model never sees "the same input, two different correct answers."</w:t>
      </w:r>
    </w:p>
    <w:p>
      <w:pPr>
        <w:pStyle w:val="ListBullet"/>
        <w:spacing w:after="80"/>
      </w:pPr>
      <w:r>
        <w:rPr>
          <w:sz w:val="21"/>
        </w:rPr>
        <w:t xml:space="preserve">Light whitespace/case cleanup on 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strings only - it deliberately does </w:t>
      </w:r>
      <w:r>
        <w:rPr>
          <w:b/>
          <w:sz w:val="21"/>
        </w:rPr>
        <w:t>not</w:t>
      </w:r>
      <w:r>
        <w:rPr>
          <w:sz w:val="21"/>
        </w:rPr>
        <w:t xml:space="preserve"> merge semantically-equivalent labels (e.g. "balance_sheet" vs "statement of financial position") since that's a taxonomy decision, not a bug fix.</w:t>
      </w:r>
    </w:p>
    <w:p>
      <w:pPr>
        <w:spacing w:after="160"/>
      </w:pPr>
      <w:r>
        <w:rPr>
          <w:sz w:val="21"/>
        </w:rPr>
        <w:t xml:space="preserve">A full report of what was changed/dropped is written to </w:t>
      </w:r>
      <w:r>
        <w:rPr>
          <w:rFonts w:ascii="Consolas" w:hAnsi="Consolas"/>
          <w:color w:val="8A2B06"/>
          <w:sz w:val="20"/>
        </w:rPr>
        <w:t>dataset_clean_report.txt</w:t>
      </w:r>
      <w:r>
        <w:rPr>
          <w:sz w:val="21"/>
        </w:rPr>
        <w:t>.</w:t>
      </w:r>
    </w:p>
    <w:p>
      <w:pPr>
        <w:spacing w:after="160"/>
      </w:pPr>
      <w:r>
        <w:rPr>
          <w:b/>
          <w:sz w:val="21"/>
        </w:rPr>
        <w:t>2c. `canonicalize_dataset.py` - fold vocabulary variants (optional, feeds `main_v2.py`)</w:t>
      </w:r>
      <w:r>
        <w:rPr>
          <w:sz w:val="21"/>
        </w:rPr>
        <w:t xml:space="preserve"> A second, independent normalization pass over the *values* the labels use (not the schema): folds case/whitespace/underscore variants of 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, and 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 xml:space="preserve"> down to their single most common spelling, and applies a small manual alias map for known unit synonyms (e.g. "percentage" -&gt; "percent"). 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 per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 is only auto-collapsed if one wording already dominates (&gt;=60% of occurrences) - otherwise it's left alone and flagged as "ambiguous" in the report, since guessing wrong there would silently corrupt a real distinction. Output is a second, canonical JSONL used by the newer training script.</w:t>
      </w:r>
    </w:p>
    <w:p>
      <w:pPr>
        <w:spacing w:after="160"/>
      </w:pPr>
      <w:r>
        <w:rPr>
          <w:b/>
          <w:sz w:val="21"/>
        </w:rPr>
        <w:t>2d. `analyze_dataset_labels.py` - QA, not required for training</w:t>
      </w:r>
      <w:r>
        <w:rPr>
          <w:sz w:val="21"/>
        </w:rPr>
        <w:t xml:space="preserve"> Produces distribution stats (label imbalance, near-duplicate labels, concept_id/meaning consistency) purely for human review of dataset quality.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Phase 3 - Fine-tuning Qwen3.5-4B with LoRA</w:t>
      </w:r>
    </w:p>
    <w:p>
      <w:pPr>
        <w:spacing w:after="160"/>
      </w:pPr>
      <w:r>
        <w:rPr>
          <w:b/>
          <w:sz w:val="21"/>
        </w:rPr>
        <w:t>Scripts: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code/03_finetune/main.py</w:t>
      </w:r>
      <w:r>
        <w:rPr>
          <w:sz w:val="21"/>
        </w:rPr>
        <w:t xml:space="preserve"> (original run) and </w:t>
      </w:r>
      <w:r>
        <w:rPr>
          <w:rFonts w:ascii="Consolas" w:hAnsi="Consolas"/>
          <w:color w:val="8A2B06"/>
          <w:sz w:val="20"/>
        </w:rPr>
        <w:t>main_v2.py</w:t>
      </w:r>
      <w:r>
        <w:rPr>
          <w:sz w:val="21"/>
        </w:rPr>
        <w:t xml:space="preserve"> (improved) </w:t>
      </w:r>
      <w:r>
        <w:rPr>
          <w:b/>
          <w:sz w:val="21"/>
        </w:rPr>
        <w:t>Input:</w:t>
      </w:r>
      <w:r>
        <w:rPr>
          <w:sz w:val="21"/>
        </w:rPr>
        <w:t xml:space="preserve"> the cleaned JSONL from Phase 2 </w:t>
      </w:r>
      <w:r>
        <w:rPr>
          <w:b/>
          <w:sz w:val="21"/>
        </w:rPr>
        <w:t>Output:</w:t>
      </w:r>
      <w:r>
        <w:rPr>
          <w:sz w:val="21"/>
        </w:rPr>
        <w:t xml:space="preserve"> a LoRA adapter directory (a few hundred MB, not a full model)</w:t>
      </w:r>
    </w:p>
    <w:p>
      <w:pPr>
        <w:spacing w:after="160"/>
      </w:pPr>
      <w:r>
        <w:rPr>
          <w:sz w:val="21"/>
        </w:rPr>
        <w:t xml:space="preserve">We use </w:t>
      </w:r>
      <w:r>
        <w:rPr>
          <w:b/>
          <w:sz w:val="21"/>
        </w:rPr>
        <w:t>PEFT / LoRA</w:t>
      </w:r>
      <w:r>
        <w:rPr>
          <w:sz w:val="21"/>
        </w:rPr>
        <w:t xml:space="preserve"> rather than full fine-tuning: it trains a small set of low-rank adapter weights instead of all 4B parameters, which is dramatically cheaper in GPU memory and time while still adapting the model's behavior on this narrow task.</w:t>
      </w:r>
    </w:p>
    <w:p>
      <w:pPr>
        <w:spacing w:after="160"/>
      </w:pPr>
      <w:r>
        <w:rPr>
          <w:sz w:val="21"/>
        </w:rPr>
        <w:t>Key choices, common to both scripts:</w:t>
      </w:r>
    </w:p>
    <w:p>
      <w:pPr>
        <w:pStyle w:val="ListBullet"/>
        <w:spacing w:after="80"/>
      </w:pPr>
      <w:r>
        <w:rPr>
          <w:b/>
          <w:sz w:val="21"/>
        </w:rPr>
        <w:t>Base model: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Qwen/Qwen3.5-4B</w:t>
      </w:r>
    </w:p>
    <w:p>
      <w:pPr>
        <w:pStyle w:val="ListBullet"/>
        <w:spacing w:after="80"/>
      </w:pPr>
      <w:r>
        <w:rPr>
          <w:b/>
          <w:sz w:val="21"/>
        </w:rPr>
        <w:t>LoRA config:</w:t>
      </w:r>
      <w:r>
        <w:rPr>
          <w:sz w:val="21"/>
        </w:rPr>
        <w:t xml:space="preserve"> rank </w:t>
      </w:r>
      <w:r>
        <w:rPr>
          <w:rFonts w:ascii="Consolas" w:hAnsi="Consolas"/>
          <w:color w:val="8A2B06"/>
          <w:sz w:val="20"/>
        </w:rPr>
        <w:t>r=32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alpha=64</w:t>
      </w:r>
      <w:r>
        <w:rPr>
          <w:sz w:val="21"/>
        </w:rPr>
        <w:t xml:space="preserve">, dropout </w:t>
      </w:r>
      <w:r>
        <w:rPr>
          <w:rFonts w:ascii="Consolas" w:hAnsi="Consolas"/>
          <w:color w:val="8A2B06"/>
          <w:sz w:val="20"/>
        </w:rPr>
        <w:t>0.05</w:t>
      </w:r>
      <w:r>
        <w:rPr>
          <w:sz w:val="21"/>
        </w:rPr>
        <w:t xml:space="preserve">, applied to </w:t>
      </w:r>
      <w:r>
        <w:rPr>
          <w:rFonts w:ascii="Consolas" w:hAnsi="Consolas"/>
          <w:color w:val="8A2B06"/>
          <w:sz w:val="20"/>
        </w:rPr>
        <w:t>all-linear</w:t>
      </w:r>
      <w:r>
        <w:rPr>
          <w:sz w:val="21"/>
        </w:rPr>
        <w:t xml:space="preserve"> modules, no bias training - a fairly high-capacity adapter setup chosen because the output schema (nested JSON with many field types) is more complex than typical chat fine-tuning.</w:t>
      </w:r>
    </w:p>
    <w:p>
      <w:pPr>
        <w:pStyle w:val="ListBullet"/>
        <w:spacing w:after="80"/>
      </w:pPr>
      <w:r>
        <w:rPr>
          <w:b/>
          <w:sz w:val="21"/>
        </w:rPr>
        <w:t>Loss masking:</w:t>
      </w:r>
      <w:r>
        <w:rPr>
          <w:sz w:val="21"/>
        </w:rPr>
        <w:t xml:space="preserve"> every example is tokenized as </w:t>
      </w:r>
      <w:r>
        <w:rPr>
          <w:rFonts w:ascii="Consolas" w:hAnsi="Consolas"/>
          <w:color w:val="8A2B06"/>
          <w:sz w:val="20"/>
        </w:rPr>
        <w:t>prompt + completion</w:t>
      </w:r>
      <w:r>
        <w:rPr>
          <w:sz w:val="21"/>
        </w:rPr>
        <w:t xml:space="preserve">, but the labels for the prompt tokens are set to </w:t>
      </w:r>
      <w:r>
        <w:rPr>
          <w:rFonts w:ascii="Consolas" w:hAnsi="Consolas"/>
          <w:color w:val="8A2B06"/>
          <w:sz w:val="20"/>
        </w:rPr>
        <w:t>-100</w:t>
      </w:r>
      <w:r>
        <w:rPr>
          <w:sz w:val="21"/>
        </w:rPr>
        <w:t xml:space="preserve"> (ignored by the loss). The model is only ever trained to predict the JSON completion, not to reproduce the input it was given.</w:t>
      </w:r>
    </w:p>
    <w:p>
      <w:pPr>
        <w:pStyle w:val="ListBullet"/>
        <w:spacing w:after="80"/>
      </w:pPr>
      <w:r>
        <w:rPr>
          <w:b/>
          <w:sz w:val="21"/>
        </w:rPr>
        <w:t>3 epochs</w:t>
      </w:r>
      <w:r>
        <w:rPr>
          <w:sz w:val="21"/>
        </w:rPr>
        <w:t>, effective batch size 48 (</w:t>
      </w:r>
      <w:r>
        <w:rPr>
          <w:rFonts w:ascii="Consolas" w:hAnsi="Consolas"/>
          <w:color w:val="8A2B06"/>
          <w:sz w:val="20"/>
        </w:rPr>
        <w:t>per_device_batch=3</w:t>
      </w:r>
      <w:r>
        <w:rPr>
          <w:sz w:val="21"/>
        </w:rPr>
        <w:t xml:space="preserve"> x </w:t>
      </w:r>
      <w:r>
        <w:rPr>
          <w:rFonts w:ascii="Consolas" w:hAnsi="Consolas"/>
          <w:color w:val="8A2B06"/>
          <w:sz w:val="20"/>
        </w:rPr>
        <w:t>gradient_accumulation=16</w:t>
      </w:r>
      <w:r>
        <w:rPr>
          <w:sz w:val="21"/>
        </w:rPr>
        <w:t xml:space="preserve">), learning rate </w:t>
      </w:r>
      <w:r>
        <w:rPr>
          <w:rFonts w:ascii="Consolas" w:hAnsi="Consolas"/>
          <w:color w:val="8A2B06"/>
          <w:sz w:val="20"/>
        </w:rPr>
        <w:t>5e-5</w:t>
      </w:r>
      <w:r>
        <w:rPr>
          <w:sz w:val="21"/>
        </w:rPr>
        <w:t xml:space="preserve"> with cosine decay and warmup, </w:t>
      </w:r>
      <w:r>
        <w:rPr>
          <w:rFonts w:ascii="Consolas" w:hAnsi="Consolas"/>
          <w:color w:val="8A2B06"/>
          <w:sz w:val="20"/>
        </w:rPr>
        <w:t>adamw_torch</w:t>
      </w:r>
      <w:r>
        <w:rPr>
          <w:sz w:val="21"/>
        </w:rPr>
        <w:t xml:space="preserve"> optimizer, gradient checkpointing to fit in memory.</w:t>
      </w:r>
    </w:p>
    <w:p>
      <w:pPr>
        <w:pStyle w:val="ListBullet"/>
        <w:spacing w:after="80"/>
      </w:pPr>
      <w:r>
        <w:rPr>
          <w:sz w:val="21"/>
        </w:rPr>
        <w:t xml:space="preserve">Runs on a cloud GPU box (Lightning/Teamspace-style), reading the dataset from and writing the adapter back to a shared </w:t>
      </w:r>
      <w:r>
        <w:rPr>
          <w:rFonts w:ascii="Consolas" w:hAnsi="Consolas"/>
          <w:color w:val="8A2B06"/>
          <w:sz w:val="20"/>
        </w:rPr>
        <w:t>/teamspace/uploads/</w:t>
      </w:r>
      <w:r>
        <w:rPr>
          <w:sz w:val="21"/>
        </w:rPr>
        <w:t xml:space="preserve"> path.</w:t>
      </w:r>
    </w:p>
    <w:p>
      <w:pPr>
        <w:spacing w:after="160"/>
      </w:pPr>
      <w:r>
        <w:rPr>
          <w:b/>
          <w:sz w:val="21"/>
        </w:rPr>
        <w:t>`main.py`</w:t>
      </w:r>
      <w:r>
        <w:rPr>
          <w:sz w:val="21"/>
        </w:rPr>
        <w:t xml:space="preserve"> (the run that actually produced the adapter currently deployed, </w:t>
      </w:r>
      <w:r>
        <w:rPr>
          <w:rFonts w:ascii="Consolas" w:hAnsi="Consolas"/>
          <w:color w:val="8A2B06"/>
          <w:sz w:val="20"/>
        </w:rPr>
        <w:t>teamspace_uploads_Qwen3.5-4B_v16v2_clean_dataset_210726</w:t>
      </w:r>
      <w:r>
        <w:rPr>
          <w:sz w:val="21"/>
        </w:rPr>
        <w:t>) trains on the whole dataset with no held-out split, fixed 1024-token padding for every example, and fp16.</w:t>
      </w:r>
    </w:p>
    <w:p>
      <w:pPr>
        <w:spacing w:after="160"/>
      </w:pPr>
      <w:r>
        <w:rPr>
          <w:b/>
          <w:sz w:val="21"/>
        </w:rPr>
        <w:t>`main_v2.py`</w:t>
      </w:r>
      <w:r>
        <w:rPr>
          <w:sz w:val="21"/>
        </w:rPr>
        <w:t xml:space="preserve"> is a later, more careful version of the same idea:</w:t>
      </w:r>
    </w:p>
    <w:p>
      <w:pPr>
        <w:pStyle w:val="ListBullet"/>
        <w:spacing w:after="80"/>
      </w:pPr>
      <w:r>
        <w:rPr>
          <w:sz w:val="21"/>
        </w:rPr>
        <w:t xml:space="preserve">Splits off 5% of the data as an eval set and tracks </w:t>
      </w:r>
      <w:r>
        <w:rPr>
          <w:rFonts w:ascii="Consolas" w:hAnsi="Consolas"/>
          <w:color w:val="8A2B06"/>
          <w:sz w:val="20"/>
        </w:rPr>
        <w:t>eval_loss</w:t>
      </w:r>
      <w:r>
        <w:rPr>
          <w:sz w:val="21"/>
        </w:rPr>
        <w:t xml:space="preserve"> + token-level accuracy during training.</w:t>
      </w:r>
    </w:p>
    <w:p>
      <w:pPr>
        <w:pStyle w:val="ListBullet"/>
        <w:spacing w:after="80"/>
      </w:pPr>
      <w:r>
        <w:rPr>
          <w:sz w:val="21"/>
        </w:rPr>
        <w:t xml:space="preserve">Uses </w:t>
      </w:r>
      <w:r>
        <w:rPr>
          <w:b/>
          <w:sz w:val="21"/>
        </w:rPr>
        <w:t>dynamic padding</w:t>
      </w:r>
      <w:r>
        <w:rPr>
          <w:sz w:val="21"/>
        </w:rPr>
        <w:t xml:space="preserve"> (pad each batch only to its own longest example, rounded to a multiple of 8) instead of always padding to 1024 - faster and less wasteful.</w:t>
      </w:r>
    </w:p>
    <w:p>
      <w:pPr>
        <w:pStyle w:val="ListBullet"/>
        <w:spacing w:after="80"/>
      </w:pPr>
      <w:r>
        <w:rPr>
          <w:sz w:val="21"/>
        </w:rPr>
        <w:t>Truncates from the *front* of the prompt (never the completion) when an example is too long, so the training signal is never the part that gets cut.</w:t>
      </w:r>
    </w:p>
    <w:p>
      <w:pPr>
        <w:pStyle w:val="ListBullet"/>
        <w:spacing w:after="80"/>
      </w:pPr>
      <w:r>
        <w:rPr>
          <w:sz w:val="21"/>
        </w:rPr>
        <w:t>Adds early stopping (patience 4) and checkpoint-resume support.</w:t>
      </w:r>
    </w:p>
    <w:p>
      <w:pPr>
        <w:pStyle w:val="ListBullet"/>
        <w:spacing w:after="80"/>
      </w:pPr>
      <w:r>
        <w:rPr>
          <w:sz w:val="21"/>
        </w:rPr>
        <w:t>Trains on the *canonical* dataset from step 2c, and uses bf16 instead of fp16.</w:t>
      </w:r>
    </w:p>
    <w:p>
      <w:pPr>
        <w:spacing w:after="160"/>
      </w:pPr>
      <w:r>
        <w:rPr>
          <w:sz w:val="21"/>
        </w:rPr>
        <w:t xml:space="preserve">Both scripts finish by saving the adapter + tokenizer, and dumping </w:t>
      </w:r>
      <w:r>
        <w:rPr>
          <w:rFonts w:ascii="Consolas" w:hAnsi="Consolas"/>
          <w:color w:val="8A2B06"/>
          <w:sz w:val="20"/>
        </w:rPr>
        <w:t>training_args.json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trainer_state.json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training_metrics.json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dataset_info.json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lora_config.json</w:t>
      </w:r>
      <w:r>
        <w:rPr>
          <w:sz w:val="21"/>
        </w:rPr>
        <w:t xml:space="preserve">, and </w:t>
      </w:r>
      <w:r>
        <w:rPr>
          <w:rFonts w:ascii="Consolas" w:hAnsi="Consolas"/>
          <w:color w:val="8A2B06"/>
          <w:sz w:val="20"/>
        </w:rPr>
        <w:t>environment.json</w:t>
      </w:r>
      <w:r>
        <w:rPr>
          <w:sz w:val="21"/>
        </w:rPr>
        <w:t xml:space="preserve"> alongside it - so every adapter directory is self-documenting about exactly how it was produced.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Phase 4 - Merging the LoRA adapter into a standalone model</w:t>
      </w:r>
    </w:p>
    <w:p>
      <w:pPr>
        <w:spacing w:after="160"/>
      </w:pPr>
      <w:r>
        <w:rPr>
          <w:b/>
          <w:sz w:val="21"/>
        </w:rPr>
        <w:t>Script: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code/04_merge_adapters/merge_model.py</w:t>
      </w:r>
      <w:r>
        <w:rPr>
          <w:sz w:val="21"/>
        </w:rPr>
        <w:t xml:space="preserve"> </w:t>
      </w:r>
      <w:r>
        <w:rPr>
          <w:b/>
          <w:sz w:val="21"/>
        </w:rPr>
        <w:t>Input:</w:t>
      </w:r>
      <w:r>
        <w:rPr>
          <w:sz w:val="21"/>
        </w:rPr>
        <w:t xml:space="preserve"> base model + LoRA adapter directory from Phase 3 </w:t>
      </w:r>
      <w:r>
        <w:rPr>
          <w:b/>
          <w:sz w:val="21"/>
        </w:rPr>
        <w:t>Output:</w:t>
      </w:r>
      <w:r>
        <w:rPr>
          <w:sz w:val="21"/>
        </w:rPr>
        <w:t xml:space="preserve"> one standalone merged model directory (full-size, no PEFT needed to load it)</w:t>
      </w:r>
    </w:p>
    <w:p>
      <w:pPr>
        <w:spacing w:after="160"/>
      </w:pPr>
      <w:r>
        <w:rPr>
          <w:sz w:val="21"/>
        </w:rPr>
        <w:t>A LoRA adapter only contains the *delta* weights - to serve the model efficiently (and to feed it into the GGUF/llama.cpp toolchain in Phase 5), the adapter needs to be folded back into the base model's weights:</w:t>
      </w:r>
    </w:p>
    <w:p>
      <w:pPr>
        <w:pStyle w:val="ListBullet"/>
        <w:spacing w:after="80"/>
      </w:pPr>
      <w:r>
        <w:rPr>
          <w:sz w:val="21"/>
        </w:rPr>
        <w:t>Load the base model (</w:t>
      </w:r>
      <w:r>
        <w:rPr>
          <w:rFonts w:ascii="Consolas" w:hAnsi="Consolas"/>
          <w:color w:val="8A2B06"/>
          <w:sz w:val="20"/>
        </w:rPr>
        <w:t>Qwen/Qwen3.5-4B</w:t>
      </w:r>
      <w:r>
        <w:rPr>
          <w:sz w:val="21"/>
        </w:rPr>
        <w:t xml:space="preserve">) onto CPU in fp16, with </w:t>
      </w:r>
      <w:r>
        <w:rPr>
          <w:rFonts w:ascii="Consolas" w:hAnsi="Consolas"/>
          <w:color w:val="8A2B06"/>
          <w:sz w:val="20"/>
        </w:rPr>
        <w:t>low_cpu_mem_usage=True</w:t>
      </w:r>
      <w:r>
        <w:rPr>
          <w:sz w:val="21"/>
        </w:rPr>
        <w:t xml:space="preserve"> (loading a 4B model onto a GPU just to merge and throw the loader away is unnecessary; this keeps it to a CPU-RAM-bound step instead).</w:t>
      </w:r>
    </w:p>
    <w:p>
      <w:pPr>
        <w:pStyle w:val="ListBullet"/>
        <w:spacing w:after="80"/>
      </w:pPr>
      <w:r>
        <w:rPr>
          <w:sz w:val="21"/>
        </w:rPr>
        <w:t xml:space="preserve">Load the LoRA adapter on top via </w:t>
      </w:r>
      <w:r>
        <w:rPr>
          <w:rFonts w:ascii="Consolas" w:hAnsi="Consolas"/>
          <w:color w:val="8A2B06"/>
          <w:sz w:val="20"/>
        </w:rPr>
        <w:t>PeftModel.from_pretrained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sz w:val="21"/>
        </w:rPr>
        <w:t xml:space="preserve">Call </w:t>
      </w:r>
      <w:r>
        <w:rPr>
          <w:rFonts w:ascii="Consolas" w:hAnsi="Consolas"/>
          <w:color w:val="8A2B06"/>
          <w:sz w:val="20"/>
        </w:rPr>
        <w:t>merge_and_unload()</w:t>
      </w:r>
      <w:r>
        <w:rPr>
          <w:sz w:val="21"/>
        </w:rPr>
        <w:t xml:space="preserve"> - this bakes the adapter's low-rank deltas directly into the base model's weight matrices and returns a plain </w:t>
      </w:r>
      <w:r>
        <w:rPr>
          <w:rFonts w:ascii="Consolas" w:hAnsi="Consolas"/>
          <w:color w:val="8A2B06"/>
          <w:sz w:val="20"/>
        </w:rPr>
        <w:t>AutoModelForCausalLM</w:t>
      </w:r>
      <w:r>
        <w:rPr>
          <w:sz w:val="21"/>
        </w:rPr>
        <w:t>, no PEFT wrapper needed anymore.</w:t>
      </w:r>
    </w:p>
    <w:p>
      <w:pPr>
        <w:pStyle w:val="ListBullet"/>
        <w:spacing w:after="80"/>
      </w:pPr>
      <w:r>
        <w:rPr>
          <w:sz w:val="21"/>
        </w:rPr>
        <w:t xml:space="preserve">Save the merged model + tokenizer to disk as a normal Hugging Face model directory (e.g. </w:t>
      </w:r>
      <w:r>
        <w:rPr>
          <w:rFonts w:ascii="Consolas" w:hAnsi="Consolas"/>
          <w:color w:val="8A2B06"/>
          <w:sz w:val="20"/>
        </w:rPr>
        <w:t>merged_Qwen3.5-4B_v16v2_clean_dataset_210726</w:t>
      </w:r>
      <w:r>
        <w:rPr>
          <w:sz w:val="21"/>
        </w:rPr>
        <w:t>).</w:t>
      </w:r>
    </w:p>
    <w:p>
      <w:pPr>
        <w:spacing w:after="160"/>
      </w:pPr>
      <w:r>
        <w:rPr>
          <w:sz w:val="21"/>
        </w:rPr>
        <w:t>This step is CPU- and RAM-heavy (expect the CPU to spike while the weight matrices are combined) but doesn't need a GPU at all.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Phase 5 - Shrinking the model: GGUF conversion &amp; quantization</w:t>
      </w:r>
    </w:p>
    <w:p>
      <w:pPr>
        <w:spacing w:after="160"/>
      </w:pPr>
      <w:r>
        <w:rPr>
          <w:b/>
          <w:sz w:val="21"/>
        </w:rPr>
        <w:t>Assets: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code/05_quantize/Containerfile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original_quantize_serve_notes.md</w:t>
      </w:r>
      <w:r>
        <w:rPr>
          <w:sz w:val="21"/>
        </w:rPr>
        <w:t xml:space="preserve"> </w:t>
      </w:r>
      <w:r>
        <w:rPr>
          <w:b/>
          <w:sz w:val="21"/>
        </w:rPr>
        <w:t>Input:</w:t>
      </w:r>
      <w:r>
        <w:rPr>
          <w:sz w:val="21"/>
        </w:rPr>
        <w:t xml:space="preserve"> the merged model directory from Phase 4 </w:t>
      </w: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.gguf</w:t>
      </w:r>
      <w:r>
        <w:rPr>
          <w:sz w:val="21"/>
        </w:rPr>
        <w:t xml:space="preserve"> model files at various precisions</w:t>
      </w:r>
    </w:p>
    <w:p>
      <w:pPr>
        <w:spacing w:after="160"/>
      </w:pPr>
      <w:r>
        <w:rPr>
          <w:sz w:val="21"/>
        </w:rPr>
        <w:t xml:space="preserve">The merged Hugging Face model is still in fp16/bf16 - great for a GPU training box, impractical for cheap, always-on inference serving. We convert it to </w:t>
      </w:r>
      <w:r>
        <w:rPr>
          <w:b/>
          <w:sz w:val="21"/>
        </w:rPr>
        <w:t>GGUF</w:t>
      </w:r>
      <w:r>
        <w:rPr>
          <w:sz w:val="21"/>
        </w:rPr>
        <w:t xml:space="preserve">, the format used by </w:t>
      </w:r>
      <w:r>
        <w:rPr>
          <w:rFonts w:ascii="Consolas" w:hAnsi="Consolas"/>
          <w:color w:val="8A2B06"/>
          <w:sz w:val="20"/>
        </w:rPr>
        <w:t>llama.cpp</w:t>
      </w:r>
      <w:r>
        <w:rPr>
          <w:sz w:val="21"/>
        </w:rPr>
        <w:t>, which supports efficient CPU/GPU inference and quantized weights:</w:t>
      </w:r>
    </w:p>
    <w:p>
      <w:pPr>
        <w:pStyle w:val="ListBullet"/>
        <w:spacing w:after="80"/>
      </w:pPr>
      <w:r>
        <w:rPr>
          <w:b/>
          <w:sz w:val="21"/>
        </w:rPr>
        <w:t>Build the toolchain:</w:t>
      </w:r>
      <w:r>
        <w:rPr>
          <w:sz w:val="21"/>
        </w:rPr>
        <w:t xml:space="preserve"> the </w:t>
      </w:r>
      <w:r>
        <w:rPr>
          <w:rFonts w:ascii="Consolas" w:hAnsi="Consolas"/>
          <w:color w:val="8A2B06"/>
          <w:sz w:val="20"/>
        </w:rPr>
        <w:t>Containerfile</w:t>
      </w:r>
      <w:r>
        <w:rPr>
          <w:sz w:val="21"/>
        </w:rPr>
        <w:t xml:space="preserve"> builds an Ubuntu image that clones and compiles </w:t>
      </w:r>
      <w:r>
        <w:rPr>
          <w:rFonts w:ascii="Consolas" w:hAnsi="Consolas"/>
          <w:color w:val="8A2B06"/>
          <w:sz w:val="20"/>
        </w:rPr>
        <w:t>llama.cpp</w:t>
      </w:r>
      <w:r>
        <w:rPr>
          <w:sz w:val="21"/>
        </w:rPr>
        <w:t xml:space="preserve"> from source (so </w:t>
      </w:r>
      <w:r>
        <w:rPr>
          <w:rFonts w:ascii="Consolas" w:hAnsi="Consolas"/>
          <w:color w:val="8A2B06"/>
          <w:sz w:val="20"/>
        </w:rPr>
        <w:t>convert_hf_to_gguf.py</w:t>
      </w:r>
      <w:r>
        <w:rPr>
          <w:sz w:val="21"/>
        </w:rPr>
        <w:t xml:space="preserve"> and </w:t>
      </w:r>
      <w:r>
        <w:rPr>
          <w:rFonts w:ascii="Consolas" w:hAnsi="Consolas"/>
          <w:color w:val="8A2B06"/>
          <w:sz w:val="20"/>
        </w:rPr>
        <w:t>llama-quantize</w:t>
      </w:r>
      <w:r>
        <w:rPr>
          <w:sz w:val="21"/>
        </w:rPr>
        <w:t xml:space="preserve"> are both available).</w:t>
      </w:r>
    </w:p>
    <w:p>
      <w:pPr>
        <w:pStyle w:val="ListBullet"/>
        <w:spacing w:after="80"/>
      </w:pPr>
      <w:r>
        <w:rPr>
          <w:b/>
          <w:sz w:val="21"/>
        </w:rPr>
        <w:t>Convert to GGUF (fp16)</w:t>
      </w:r>
      <w:r>
        <w:rPr>
          <w:sz w:val="21"/>
        </w:rPr>
        <w:t xml:space="preserve"> - </w:t>
      </w:r>
      <w:r>
        <w:rPr>
          <w:rFonts w:ascii="Consolas" w:hAnsi="Consolas"/>
          <w:color w:val="8A2B06"/>
          <w:sz w:val="20"/>
        </w:rPr>
        <w:t>--no-mtp</w:t>
      </w:r>
      <w:r>
        <w:rPr>
          <w:sz w:val="21"/>
        </w:rPr>
        <w:t xml:space="preserve"> skips Qwen's multi-token-prediction head, which the conversion script doesn't need for standard autoregressive serving:</w:t>
      </w:r>
    </w:p>
    <w:p>
      <w:pPr>
        <w:spacing w:after="200"/>
        <w:shd w:val="clear" w:fill="F2F2EF"/>
      </w:pPr>
      <w:r>
        <w:rPr>
          <w:rFonts w:ascii="Consolas" w:hAnsi="Consolas"/>
          <w:color w:val="52514E"/>
          <w:sz w:val="18"/>
        </w:rPr>
        <w:t>python3 convert_hf_to_gguf.py &lt;merged_model_dir&gt; --outfile &lt;name&gt;_fp16.gguf --outtype f16 --no-mtp</w:t>
      </w:r>
    </w:p>
    <w:p>
      <w:pPr>
        <w:pStyle w:val="ListBullet"/>
        <w:spacing w:after="80"/>
      </w:pPr>
      <w:r>
        <w:rPr>
          <w:b/>
          <w:sz w:val="21"/>
        </w:rPr>
        <w:t>Quantize</w:t>
      </w:r>
      <w:r>
        <w:rPr>
          <w:sz w:val="21"/>
        </w:rPr>
        <w:t xml:space="preserve"> - we produced both </w:t>
      </w:r>
      <w:r>
        <w:rPr>
          <w:rFonts w:ascii="Consolas" w:hAnsi="Consolas"/>
          <w:color w:val="8A2B06"/>
          <w:sz w:val="20"/>
        </w:rPr>
        <w:t>Q6_K</w:t>
      </w:r>
      <w:r>
        <w:rPr>
          <w:sz w:val="21"/>
        </w:rPr>
        <w:t xml:space="preserve"> (smaller, more lossy) and </w:t>
      </w:r>
      <w:r>
        <w:rPr>
          <w:rFonts w:ascii="Consolas" w:hAnsi="Consolas"/>
          <w:color w:val="8A2B06"/>
          <w:sz w:val="20"/>
        </w:rPr>
        <w:t>Q8_0</w:t>
      </w:r>
      <w:r>
        <w:rPr>
          <w:sz w:val="21"/>
        </w:rPr>
        <w:t xml:space="preserve"> (larger, closer to fp16 accuracy) variants:</w:t>
      </w:r>
    </w:p>
    <w:p>
      <w:pPr>
        <w:spacing w:after="200"/>
        <w:shd w:val="clear" w:fill="F2F2EF"/>
      </w:pPr>
      <w:r>
        <w:rPr>
          <w:rFonts w:ascii="Consolas" w:hAnsi="Consolas"/>
          <w:color w:val="52514E"/>
          <w:sz w:val="18"/>
        </w:rPr>
        <w:t>llama-quantize &lt;name&gt;_fp16.gguf &lt;name&gt;_fp16-Q8_0.gguf Q8_0</w:t>
      </w:r>
    </w:p>
    <w:p>
      <w:pPr>
        <w:spacing w:after="160"/>
      </w:pPr>
      <w:r>
        <w:rPr>
          <w:b/>
          <w:sz w:val="21"/>
        </w:rPr>
        <w:t>Q8_0 was chosen for production</w:t>
      </w:r>
      <w:r>
        <w:rPr>
          <w:sz w:val="21"/>
        </w:rPr>
        <w:t xml:space="preserve"> - it's still roughly half the size of fp16 while keeping accuracy loss minimal, which matters a lot for a model whose whole job is emitting exact structured JSON.</w:t>
      </w:r>
    </w:p>
    <w:p>
      <w:pPr>
        <w:spacing w:after="160"/>
      </w:pPr>
      <w:r>
        <w:rPr>
          <w:sz w:val="21"/>
        </w:rPr>
        <w:t>Resulting artifact sizes for this project's model, for reference: fp16 ~8.4 GB, Q6_K ~3.5 GB, Q8_0 ~4.5 GB.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Phase 6 - Serving the quantized model</w:t>
      </w:r>
    </w:p>
    <w:p>
      <w:pPr>
        <w:spacing w:after="160"/>
      </w:pPr>
      <w:r>
        <w:rPr>
          <w:b/>
          <w:sz w:val="21"/>
        </w:rPr>
        <w:t>Assets: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code/06_serve/api_GPU.py</w:t>
      </w:r>
      <w:r>
        <w:rPr>
          <w:sz w:val="21"/>
        </w:rPr>
        <w:t xml:space="preserve"> </w:t>
      </w:r>
      <w:r>
        <w:rPr>
          <w:b/>
          <w:sz w:val="21"/>
        </w:rPr>
        <w:t>Input:</w:t>
      </w:r>
      <w:r>
        <w:rPr>
          <w:sz w:val="21"/>
        </w:rPr>
        <w:t xml:space="preserve"> the </w:t>
      </w:r>
      <w:r>
        <w:rPr>
          <w:rFonts w:ascii="Consolas" w:hAnsi="Consolas"/>
          <w:color w:val="8A2B06"/>
          <w:sz w:val="20"/>
        </w:rPr>
        <w:t>.gguf</w:t>
      </w:r>
      <w:r>
        <w:rPr>
          <w:sz w:val="21"/>
        </w:rPr>
        <w:t xml:space="preserve"> file from Phase 5 </w:t>
      </w:r>
      <w:r>
        <w:rPr>
          <w:b/>
          <w:sz w:val="21"/>
        </w:rPr>
        <w:t>Output:</w:t>
      </w:r>
      <w:r>
        <w:rPr>
          <w:sz w:val="21"/>
        </w:rPr>
        <w:t xml:space="preserve"> a running HTTP API that other scripts can send tables to</w:t>
      </w:r>
    </w:p>
    <w:p>
      <w:pPr>
        <w:spacing w:after="160"/>
      </w:pPr>
      <w:r>
        <w:rPr>
          <w:sz w:val="21"/>
        </w:rPr>
        <w:t>Two layers sit in front of the model:</w:t>
      </w:r>
    </w:p>
    <w:p>
      <w:pPr>
        <w:pStyle w:val="ListBullet"/>
        <w:spacing w:after="80"/>
      </w:pPr>
      <w:r>
        <w:rPr>
          <w:b/>
          <w:sz w:val="21"/>
        </w:rPr>
        <w:t>`llama-server`</w:t>
      </w:r>
      <w:r>
        <w:rPr>
          <w:sz w:val="21"/>
        </w:rPr>
        <w:t xml:space="preserve"> (from </w:t>
      </w:r>
      <w:r>
        <w:rPr>
          <w:rFonts w:ascii="Consolas" w:hAnsi="Consolas"/>
          <w:color w:val="8A2B06"/>
          <w:sz w:val="20"/>
        </w:rPr>
        <w:t>llama.cpp</w:t>
      </w:r>
      <w:r>
        <w:rPr>
          <w:sz w:val="21"/>
        </w:rPr>
        <w:t xml:space="preserve">, either the Podman build or the prebuilt Windows binaries) loads the </w:t>
      </w:r>
      <w:r>
        <w:rPr>
          <w:rFonts w:ascii="Consolas" w:hAnsi="Consolas"/>
          <w:color w:val="8A2B06"/>
          <w:sz w:val="20"/>
        </w:rPr>
        <w:t>.gguf</w:t>
      </w:r>
      <w:r>
        <w:rPr>
          <w:sz w:val="21"/>
        </w:rPr>
        <w:t xml:space="preserve"> file directly and exposes a raw completion API:</w:t>
      </w:r>
    </w:p>
    <w:p>
      <w:pPr>
        <w:spacing w:after="200"/>
        <w:shd w:val="clear" w:fill="F2F2EF"/>
      </w:pPr>
      <w:r>
        <w:rPr>
          <w:rFonts w:ascii="Consolas" w:hAnsi="Consolas"/>
          <w:color w:val="52514E"/>
          <w:sz w:val="18"/>
        </w:rPr>
        <w:t>llama-server.exe -m &lt;name&gt;_fp16-Q8_0.gguf --port 8080 --threads 4 --ctx-size 8192</w:t>
      </w:r>
    </w:p>
    <w:p>
      <w:pPr>
        <w:pStyle w:val="ListBullet"/>
        <w:spacing w:after="80"/>
      </w:pPr>
      <w:r>
        <w:rPr>
          <w:b/>
          <w:sz w:val="21"/>
        </w:rPr>
        <w:t>`api_GPU.py`</w:t>
      </w:r>
      <w:r>
        <w:rPr>
          <w:sz w:val="21"/>
        </w:rPr>
        <w:t xml:space="preserve">, a small FastAPI app, sits in front of it on port 8000 and adds the pieces </w:t>
      </w:r>
      <w:r>
        <w:rPr>
          <w:rFonts w:ascii="Consolas" w:hAnsi="Consolas"/>
          <w:color w:val="8A2B06"/>
          <w:sz w:val="20"/>
        </w:rPr>
        <w:t>llama-server</w:t>
      </w:r>
      <w:r>
        <w:rPr>
          <w:sz w:val="21"/>
        </w:rPr>
        <w:t xml:space="preserve"> doesn't provide on its own: an async job queue (</w:t>
      </w:r>
      <w:r>
        <w:rPr>
          <w:rFonts w:ascii="Consolas" w:hAnsi="Consolas"/>
          <w:color w:val="8A2B06"/>
          <w:sz w:val="20"/>
        </w:rPr>
        <w:t>/predict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/status/{job_id}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/results/{job_id}</w:t>
      </w:r>
      <w:r>
        <w:rPr>
          <w:sz w:val="21"/>
        </w:rPr>
        <w:t>) so many tables can be submitted as one batch job and polled for progress, JSON repair on the model's raw text output (</w:t>
      </w:r>
      <w:r>
        <w:rPr>
          <w:rFonts w:ascii="Consolas" w:hAnsi="Consolas"/>
          <w:color w:val="8A2B06"/>
          <w:sz w:val="20"/>
        </w:rPr>
        <w:t>json_repair</w:t>
      </w:r>
      <w:r>
        <w:rPr>
          <w:sz w:val="21"/>
        </w:rPr>
        <w:t xml:space="preserve">, since a small quantized model occasionally emits near-valid JSON), and a health check that confirms </w:t>
      </w:r>
      <w:r>
        <w:rPr>
          <w:rFonts w:ascii="Consolas" w:hAnsi="Consolas"/>
          <w:color w:val="8A2B06"/>
          <w:sz w:val="20"/>
        </w:rPr>
        <w:t>llama-server</w:t>
      </w:r>
      <w:r>
        <w:rPr>
          <w:sz w:val="21"/>
        </w:rPr>
        <w:t xml:space="preserve"> is actually reachable at startup.</w:t>
      </w:r>
    </w:p>
    <w:p>
      <w:pPr>
        <w:spacing w:after="160"/>
      </w:pPr>
      <w:r>
        <w:rPr>
          <w:sz w:val="21"/>
        </w:rPr>
        <w:t xml:space="preserve">This is the same shape of interface the raw-export pipeline in Phase 1 used against GPT-4.1 - which is what makes the apples-to-apples comparison in Phase 7 possible: both models are handed the *exact same* </w:t>
      </w:r>
      <w:r>
        <w:rPr>
          <w:rFonts w:ascii="Consolas" w:hAnsi="Consolas"/>
          <w:color w:val="8A2B06"/>
          <w:sz w:val="20"/>
        </w:rPr>
        <w:t>classify_&lt;id&gt;_input.json</w:t>
      </w:r>
      <w:r>
        <w:rPr>
          <w:sz w:val="21"/>
        </w:rPr>
        <w:t xml:space="preserve"> files and asked to produce the same structured output.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Phase 7 - Evaluating the small LLM against GPT-4.1</w:t>
      </w:r>
    </w:p>
    <w:p>
      <w:pPr>
        <w:spacing w:after="160"/>
      </w:pPr>
      <w:r>
        <w:rPr>
          <w:b/>
          <w:sz w:val="21"/>
        </w:rPr>
        <w:t>Scripts: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code/07_evaluate/generate_customllm_responses.py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batch_generate_customllm_responses.py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compare_llm_responses.py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batch_compare_and_visualize.py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visualize_comparison.py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visualize_table.py</w:t>
      </w:r>
    </w:p>
    <w:p>
      <w:pPr>
        <w:spacing w:after="160"/>
      </w:pPr>
      <w:r>
        <w:rPr>
          <w:sz w:val="21"/>
        </w:rPr>
        <w:t>The whole point of this project is a small model that's "good enough" to replace calling a commercial LLM for this task. To measure that:</w:t>
      </w:r>
    </w:p>
    <w:p>
      <w:pPr>
        <w:pStyle w:val="ListBullet"/>
        <w:spacing w:after="80"/>
      </w:pPr>
      <w:r>
        <w:rPr>
          <w:b/>
          <w:sz w:val="21"/>
        </w:rPr>
        <w:t>Replay the same inputs.</w:t>
      </w:r>
      <w:r>
        <w:rPr>
          <w:sz w:val="21"/>
        </w:rPr>
        <w:t xml:space="preserve"> For a set of documents held out from training (never seen during Phase 3), the </w:t>
      </w:r>
      <w:r>
        <w:rPr>
          <w:rFonts w:ascii="Consolas" w:hAnsi="Consolas"/>
          <w:color w:val="8A2B06"/>
          <w:sz w:val="20"/>
        </w:rPr>
        <w:t>classify_&lt;id&gt;_input.json</w:t>
      </w:r>
      <w:r>
        <w:rPr>
          <w:sz w:val="21"/>
        </w:rPr>
        <w:t xml:space="preserve"> files already exist from Phase 1 (along with GPT-4.1's answers in </w:t>
      </w:r>
      <w:r>
        <w:rPr>
          <w:rFonts w:ascii="Consolas" w:hAnsi="Consolas"/>
          <w:color w:val="8A2B06"/>
          <w:sz w:val="20"/>
        </w:rPr>
        <w:t>classify_&lt;id&gt;_response.json</w:t>
      </w:r>
      <w:r>
        <w:rPr>
          <w:sz w:val="21"/>
        </w:rPr>
        <w:t xml:space="preserve">). </w:t>
      </w:r>
      <w:r>
        <w:rPr>
          <w:rFonts w:ascii="Consolas" w:hAnsi="Consolas"/>
          <w:color w:val="8A2B06"/>
          <w:sz w:val="20"/>
        </w:rPr>
        <w:t>generate_customllm_responses.py</w:t>
      </w:r>
      <w:r>
        <w:rPr>
          <w:sz w:val="21"/>
        </w:rPr>
        <w:t xml:space="preserve"> takes those *same* input files, submits them to </w:t>
      </w:r>
      <w:r>
        <w:rPr>
          <w:rFonts w:ascii="Consolas" w:hAnsi="Consolas"/>
          <w:color w:val="8A2B06"/>
          <w:sz w:val="20"/>
        </w:rPr>
        <w:t>api_GPU.py</w:t>
      </w:r>
      <w:r>
        <w:rPr>
          <w:sz w:val="21"/>
        </w:rPr>
        <w:t xml:space="preserve">, and saves the quantized model's answers as </w:t>
      </w:r>
      <w:r>
        <w:rPr>
          <w:rFonts w:ascii="Consolas" w:hAnsi="Consolas"/>
          <w:color w:val="8A2B06"/>
          <w:sz w:val="20"/>
        </w:rPr>
        <w:t>classify_&lt;id&gt;_response_customllm.json</w:t>
      </w:r>
      <w:r>
        <w:rPr>
          <w:sz w:val="21"/>
        </w:rPr>
        <w:t xml:space="preserve"> right next to GPT-4.1's - so both models' answers for the same table sit side by side. </w:t>
      </w:r>
      <w:r>
        <w:rPr>
          <w:rFonts w:ascii="Consolas" w:hAnsi="Consolas"/>
          <w:color w:val="8A2B06"/>
          <w:sz w:val="20"/>
        </w:rPr>
        <w:t>batch_generate_customllm_responses.py</w:t>
      </w:r>
      <w:r>
        <w:rPr>
          <w:sz w:val="21"/>
        </w:rPr>
        <w:t xml:space="preserve"> does this across every job folder in a directory, one job at a time (deliberately sequential, since they'd all compete for the same GPU slots anyway).</w:t>
      </w:r>
    </w:p>
    <w:p>
      <w:pPr>
        <w:pStyle w:val="ListBullet"/>
        <w:spacing w:after="80"/>
      </w:pPr>
      <w:r>
        <w:rPr>
          <w:b/>
          <w:sz w:val="21"/>
        </w:rPr>
        <w:t>Diff the two answer sets.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compare_llm_responses.py</w:t>
      </w:r>
      <w:r>
        <w:rPr>
          <w:sz w:val="21"/>
        </w:rPr>
        <w:t xml:space="preserve"> treats GPT-4.1's answer as the reference and the custom LLM's answer as the candidate, and compares field by field:</w:t>
      </w:r>
    </w:p>
    <w:p>
      <w:pPr>
        <w:pStyle w:val="ListBullet"/>
        <w:spacing w:after="80"/>
      </w:pP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- exact match, plus lexical/embedding similarity as a softer signal (via </w:t>
      </w:r>
      <w:r>
        <w:rPr>
          <w:rFonts w:ascii="Consolas" w:hAnsi="Consolas"/>
          <w:color w:val="8A2B06"/>
          <w:sz w:val="20"/>
        </w:rPr>
        <w:t>sentence-transformers</w:t>
      </w:r>
      <w:r>
        <w:rPr>
          <w:sz w:val="21"/>
        </w:rPr>
        <w:t>, optional - falls back to lexical-only matching if it's not installed).</w:t>
      </w:r>
    </w:p>
    <w:p>
      <w:pPr>
        <w:pStyle w:val="ListBullet"/>
        <w:spacing w:after="80"/>
      </w:pPr>
      <w:r>
        <w:rPr>
          <w:sz w:val="21"/>
        </w:rPr>
        <w:t xml:space="preserve">Rows - </w:t>
      </w:r>
      <w:r>
        <w:rPr>
          <w:rFonts w:ascii="Consolas" w:hAnsi="Consolas"/>
          <w:color w:val="8A2B06"/>
          <w:sz w:val="20"/>
        </w:rPr>
        <w:t>row_type</w:t>
      </w:r>
      <w:r>
        <w:rPr>
          <w:sz w:val="21"/>
        </w:rPr>
        <w:t>, direction, sign, note references.</w:t>
      </w:r>
    </w:p>
    <w:p>
      <w:pPr>
        <w:pStyle w:val="ListBullet"/>
        <w:spacing w:after="80"/>
      </w:pPr>
      <w:r>
        <w:rPr>
          <w:sz w:val="21"/>
        </w:rPr>
        <w:t xml:space="preserve">Columns - </w:t>
      </w:r>
      <w:r>
        <w:rPr>
          <w:rFonts w:ascii="Consolas" w:hAnsi="Consolas"/>
          <w:color w:val="8A2B06"/>
          <w:sz w:val="20"/>
        </w:rPr>
        <w:t>column_type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sz w:val="21"/>
        </w:rPr>
        <w:t xml:space="preserve">Cells - </w:t>
      </w:r>
      <w:r>
        <w:rPr>
          <w:rFonts w:ascii="Consolas" w:hAnsi="Consolas"/>
          <w:color w:val="8A2B06"/>
          <w:sz w:val="20"/>
        </w:rPr>
        <w:t>reporting_period</w:t>
      </w:r>
      <w:r>
        <w:rPr>
          <w:sz w:val="21"/>
        </w:rPr>
        <w:t xml:space="preserve"> (with calendar-aware normalization, e.g. "FY2023" and "year ended Dec 31 2023" should match),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scale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scale_multiplier</w:t>
      </w:r>
      <w:r>
        <w:rPr>
          <w:sz w:val="21"/>
        </w:rPr>
        <w:t>.</w:t>
      </w:r>
    </w:p>
    <w:p>
      <w:pPr>
        <w:spacing w:after="160"/>
      </w:pPr>
      <w:r>
        <w:rPr>
          <w:sz w:val="21"/>
        </w:rPr>
        <w:t xml:space="preserve">Results are written as </w:t>
      </w:r>
      <w:r>
        <w:rPr>
          <w:rFonts w:ascii="Consolas" w:hAnsi="Consolas"/>
          <w:color w:val="8A2B06"/>
          <w:sz w:val="20"/>
        </w:rPr>
        <w:t>compare/compare_&lt;table_id&gt;.json</w:t>
      </w:r>
      <w:r>
        <w:rPr>
          <w:sz w:val="21"/>
        </w:rPr>
        <w:t xml:space="preserve"> (per table) and </w:t>
      </w:r>
      <w:r>
        <w:rPr>
          <w:rFonts w:ascii="Consolas" w:hAnsi="Consolas"/>
          <w:color w:val="8A2B06"/>
          <w:sz w:val="20"/>
        </w:rPr>
        <w:t>compare/compare_summary.json</w:t>
      </w:r>
      <w:r>
        <w:rPr>
          <w:sz w:val="21"/>
        </w:rPr>
        <w:t xml:space="preserve"> (per document) inside each job folder.</w:t>
      </w:r>
    </w:p>
    <w:p>
      <w:pPr>
        <w:pStyle w:val="ListBullet"/>
        <w:spacing w:after="80"/>
      </w:pPr>
      <w:r>
        <w:rPr>
          <w:b/>
          <w:sz w:val="21"/>
        </w:rPr>
        <w:t>Visualize.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batch_compare_and_visualize.py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visualize_comparison.py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visualize_table.py</w:t>
      </w:r>
      <w:r>
        <w:rPr>
          <w:sz w:val="21"/>
        </w:rPr>
        <w:t xml:space="preserve"> render those comparison files as charts and annotated table views, for spot-checking specific documents.</w:t>
      </w:r>
    </w:p>
    <w:p>
      <w:pPr>
        <w:spacing w:after="160"/>
      </w:pPr>
      <w:r>
        <w:rPr>
          <w:sz w:val="21"/>
        </w:rPr>
        <w:t>This produced two evaluation runs worth knowing about:</w:t>
      </w:r>
    </w:p>
    <w:p>
      <w:pPr>
        <w:pStyle w:val="ListBullet"/>
        <w:spacing w:after="80"/>
      </w:pPr>
      <w:r>
        <w:rPr>
          <w:sz w:val="21"/>
        </w:rPr>
        <w:t xml:space="preserve">A </w:t>
      </w:r>
      <w:r>
        <w:rPr>
          <w:b/>
          <w:sz w:val="21"/>
        </w:rPr>
        <w:t>mixed</w:t>
      </w:r>
      <w:r>
        <w:rPr>
          <w:sz w:val="21"/>
        </w:rPr>
        <w:t xml:space="preserve"> run (in-sample + held-out documents together), to sanity check the model isn't wildly overfit.</w:t>
      </w:r>
    </w:p>
    <w:p>
      <w:pPr>
        <w:pStyle w:val="ListBullet"/>
        <w:spacing w:after="80"/>
      </w:pPr>
      <w:r>
        <w:rPr>
          <w:sz w:val="21"/>
        </w:rPr>
        <w:t xml:space="preserve">An </w:t>
      </w:r>
      <w:r>
        <w:rPr>
          <w:b/>
          <w:sz w:val="21"/>
        </w:rPr>
        <w:t>unseen-only</w:t>
      </w:r>
      <w:r>
        <w:rPr>
          <w:sz w:val="21"/>
        </w:rPr>
        <w:t xml:space="preserve"> run, using only the held-out documents, as the honest measure of real-world generalization.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Phase 8 - Turning results into reports</w:t>
      </w:r>
    </w:p>
    <w:p>
      <w:pPr>
        <w:spacing w:after="160"/>
      </w:pPr>
      <w:r>
        <w:rPr>
          <w:b/>
          <w:sz w:val="21"/>
        </w:rPr>
        <w:t>Scripts: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code/08_reporting/analyze.py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chart_gen.py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train_chart_gen.py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analyze_eval.py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analyze_eval_unseen.py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eval_chart_gen.py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eval_chart_gen_unseen.py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build_docx.py</w:t>
      </w:r>
    </w:p>
    <w:p>
      <w:pPr>
        <w:spacing w:after="160"/>
      </w:pPr>
      <w:r>
        <w:rPr>
          <w:sz w:val="21"/>
        </w:rPr>
        <w:t xml:space="preserve">The </w:t>
      </w:r>
      <w:r>
        <w:rPr>
          <w:rFonts w:ascii="Consolas" w:hAnsi="Consolas"/>
          <w:color w:val="8A2B06"/>
          <w:sz w:val="20"/>
        </w:rPr>
        <w:t>compare/</w:t>
      </w:r>
      <w:r>
        <w:rPr>
          <w:sz w:val="21"/>
        </w:rPr>
        <w:t xml:space="preserve"> folders from Phase 7 are still hundreds of small per-table JSON files - not something you'd hand to a stakeholder. The reporting scripts:</w:t>
      </w:r>
    </w:p>
    <w:p>
      <w:pPr>
        <w:pStyle w:val="ListBullet"/>
        <w:spacing w:after="80"/>
      </w:pPr>
      <w:r>
        <w:rPr>
          <w:b/>
          <w:sz w:val="21"/>
        </w:rPr>
        <w:t>Aggregate</w:t>
      </w:r>
      <w:r>
        <w:rPr>
          <w:sz w:val="21"/>
        </w:rPr>
        <w:t xml:space="preserve"> every job's </w:t>
      </w:r>
      <w:r>
        <w:rPr>
          <w:rFonts w:ascii="Consolas" w:hAnsi="Consolas"/>
          <w:color w:val="8A2B06"/>
          <w:sz w:val="20"/>
        </w:rPr>
        <w:t>compare_summary.json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compare_&lt;id&gt;.json</w:t>
      </w:r>
      <w:r>
        <w:rPr>
          <w:sz w:val="21"/>
        </w:rPr>
        <w:t xml:space="preserve"> into overall accuracy metrics, an in-sample-vs-held-out generalization check, best/worst-performing documents and tables, and a check for whether table size (row/column count) correlates with accuracy (</w:t>
      </w:r>
      <w:r>
        <w:rPr>
          <w:rFonts w:ascii="Consolas" w:hAnsi="Consolas"/>
          <w:color w:val="8A2B06"/>
          <w:sz w:val="20"/>
        </w:rPr>
        <w:t>analyze_eval.py</w:t>
      </w:r>
      <w:r>
        <w:rPr>
          <w:sz w:val="21"/>
        </w:rPr>
        <w:t xml:space="preserve"> for the mixed run, </w:t>
      </w:r>
      <w:r>
        <w:rPr>
          <w:rFonts w:ascii="Consolas" w:hAnsi="Consolas"/>
          <w:color w:val="8A2B06"/>
          <w:sz w:val="20"/>
        </w:rPr>
        <w:t>analyze_eval_unseen.py</w:t>
      </w:r>
      <w:r>
        <w:rPr>
          <w:sz w:val="21"/>
        </w:rPr>
        <w:t xml:space="preserve"> for the held-out-only run) - written out as </w:t>
      </w:r>
      <w:r>
        <w:rPr>
          <w:rFonts w:ascii="Consolas" w:hAnsi="Consolas"/>
          <w:color w:val="8A2B06"/>
          <w:sz w:val="20"/>
        </w:rPr>
        <w:t>eval_stats.json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b/>
          <w:sz w:val="21"/>
        </w:rPr>
        <w:t>Chart</w:t>
      </w:r>
      <w:r>
        <w:rPr>
          <w:sz w:val="21"/>
        </w:rPr>
        <w:t xml:space="preserve"> those stats into PNGs (</w:t>
      </w:r>
      <w:r>
        <w:rPr>
          <w:rFonts w:ascii="Consolas" w:hAnsi="Consolas"/>
          <w:color w:val="8A2B06"/>
          <w:sz w:val="20"/>
        </w:rPr>
        <w:t>eval_chart_gen.py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eval_chart_gen_unseen.py</w:t>
      </w:r>
      <w:r>
        <w:rPr>
          <w:sz w:val="21"/>
        </w:rPr>
        <w:t>), following one fixed convention: best results are always shown first / at the top, and every "where the model struggles" chart is paired with a "where it performs well" chart, never shown alone.</w:t>
      </w:r>
    </w:p>
    <w:p>
      <w:pPr>
        <w:pStyle w:val="ListBullet"/>
        <w:spacing w:after="80"/>
      </w:pPr>
      <w:r>
        <w:rPr>
          <w:b/>
          <w:sz w:val="21"/>
        </w:rPr>
        <w:t>Render to Word.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build_docx.py &lt;markdown_report&gt; &lt;output.docx&gt;</w:t>
      </w:r>
      <w:r>
        <w:rPr>
          <w:sz w:val="21"/>
        </w:rPr>
        <w:t xml:space="preserve"> parses a markdown report (headings, bullet points, tables, code blocks, embedded chart images) and lays it out as a formatted </w:t>
      </w:r>
      <w:r>
        <w:rPr>
          <w:rFonts w:ascii="Consolas" w:hAnsi="Consolas"/>
          <w:color w:val="8A2B06"/>
          <w:sz w:val="20"/>
        </w:rPr>
        <w:t>.docx</w:t>
      </w:r>
      <w:r>
        <w:rPr>
          <w:sz w:val="21"/>
        </w:rPr>
        <w:t xml:space="preserve"> - this is literally the same script used to generate the guide you're reading now.</w:t>
      </w:r>
    </w:p>
    <w:p>
      <w:pPr>
        <w:spacing w:after="160"/>
      </w:pPr>
      <w:r>
        <w:rPr>
          <w:sz w:val="21"/>
        </w:rPr>
        <w:t xml:space="preserve">The three finished reports this pipeline has produced so far live at the top of </w:t>
      </w:r>
      <w:r>
        <w:rPr>
          <w:rFonts w:ascii="Consolas" w:hAnsi="Consolas"/>
          <w:color w:val="8A2B06"/>
          <w:sz w:val="20"/>
        </w:rPr>
        <w:t>sllm_training_v2/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4824"/>
        <w:gridCol w:w="4824"/>
      </w:tblGrid>
      <w:tr>
        <w:tc>
          <w:tcPr>
            <w:tcW w:type="dxa" w:w="4464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Report</w:t>
            </w:r>
          </w:p>
        </w:tc>
        <w:tc>
          <w:tcPr>
            <w:tcW w:type="dxa" w:w="4464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Covers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Dataset_and_Training_Report.docx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Training corpus stats + the LoRA training run (loss curve, LR schedule, compute)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Evaluation_and_Metrics_Report.docx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Quantized model vs GPT-4.1 on a mixed in-sample + held-out set, plus a deployment cost/capacity analysis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Unseen_Evaluation_and_Metrics_Report.docx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The same evaluation, restricted to only the held-out documents - the true generalization number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End-to-end artifact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3216"/>
        <w:gridCol w:w="3216"/>
        <w:gridCol w:w="3216"/>
      </w:tblGrid>
      <w:tr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Produces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Typical location on this machine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1. Raw export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classify_*_input/prompt/response.json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job.json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.../IntelligentDocumentParser/output/&lt;job_id&gt;/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2. Dataset build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dataset_*.jsonl</w:t>
            </w:r>
            <w:r>
              <w:rPr>
                <w:sz w:val="19"/>
              </w:rPr>
              <w:t xml:space="preserve"> (raw / clean / clean.canonical)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D:\Dev\sllm_training_v2\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3. Fine-tune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LoRA adapter dir + training metadata JSONs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teamspace_uploads_Qwen3.5-4B_...\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4. Merge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Standalone merged HF model dir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D:\Dev\qwen_podman\models\v2\merged_...\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5. Quantize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.gguf</w:t>
            </w:r>
            <w:r>
              <w:rPr>
                <w:sz w:val="19"/>
              </w:rPr>
              <w:t xml:space="preserve"> files (fp16 / Q6_K / Q8_0)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D:\Dev\qwen_podman\models\v2\*.gguf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6. Serve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 xml:space="preserve">HTTP endpoints on </w:t>
            </w:r>
            <w:r>
              <w:rPr>
                <w:rFonts w:ascii="Consolas" w:hAnsi="Consolas"/>
                <w:color w:val="8A2B06"/>
                <w:sz w:val="18"/>
              </w:rPr>
              <w:t>:8080</w:t>
            </w:r>
            <w:r>
              <w:rPr>
                <w:sz w:val="19"/>
              </w:rPr>
              <w:t xml:space="preserve"> (llama-server) and </w:t>
            </w:r>
            <w:r>
              <w:rPr>
                <w:rFonts w:ascii="Consolas" w:hAnsi="Consolas"/>
                <w:color w:val="8A2B06"/>
                <w:sz w:val="18"/>
              </w:rPr>
              <w:t>:8000</w:t>
            </w:r>
            <w:r>
              <w:rPr>
                <w:sz w:val="19"/>
              </w:rPr>
              <w:t xml:space="preserve"> (api_GPU.py)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wherever the server process runs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7. Evaluate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classify_*_response_customllm.json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compare/*.json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alongside each job's other classify_* files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8. Report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eval_stats*.json</w:t>
            </w:r>
            <w:r>
              <w:rPr>
                <w:sz w:val="19"/>
              </w:rPr>
              <w:t xml:space="preserve">, chart PNGs, final </w:t>
            </w:r>
            <w:r>
              <w:rPr>
                <w:rFonts w:ascii="Consolas" w:hAnsi="Consolas"/>
                <w:color w:val="8A2B06"/>
                <w:sz w:val="18"/>
              </w:rPr>
              <w:t>.docx</w:t>
            </w:r>
            <w:r>
              <w:rPr>
                <w:sz w:val="19"/>
              </w:rPr>
              <w:t xml:space="preserve"> reports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D:\Dev\sllm_training_v2\report_assets\</w:t>
            </w:r>
            <w:r>
              <w:rPr>
                <w:sz w:val="19"/>
              </w:rPr>
              <w:t xml:space="preserve"> and repo root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