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80" w:after="160"/>
      </w:pPr>
      <w:r>
        <w:rPr>
          <w:b/>
          <w:color w:val="0B0B0B"/>
          <w:sz w:val="40"/>
        </w:rPr>
        <w:t>Evaluation &amp; Metrics Report — Genuinely Unseen Documents Only</w:t>
      </w:r>
    </w:p>
    <w:p>
      <w:pPr>
        <w:spacing w:after="160"/>
      </w:pPr>
      <w:r>
        <w:rPr>
          <w:b/>
          <w:sz w:val="21"/>
        </w:rPr>
        <w:t>Model under test:</w:t>
      </w:r>
      <w:r>
        <w:rPr>
          <w:sz w:val="21"/>
        </w:rPr>
        <w:t xml:space="preserve"> </w:t>
      </w:r>
      <w:r>
        <w:rPr>
          <w:rFonts w:ascii="Consolas" w:hAnsi="Consolas"/>
          <w:color w:val="8A2B06"/>
          <w:sz w:val="20"/>
        </w:rPr>
        <w:t>merged_Qwen3.5-4B_v16v2_clean_dataset_210726_fp16-Q6_K.gguf</w:t>
      </w:r>
      <w:r>
        <w:rPr>
          <w:sz w:val="21"/>
        </w:rPr>
        <w:t xml:space="preserve"> (Q6_K quantized, 3.23 GiB — the same model evaluated in the 2026-07-24 report)</w:t>
      </w:r>
    </w:p>
    <w:p>
      <w:pPr>
        <w:spacing w:after="160"/>
      </w:pPr>
      <w:r>
        <w:rPr>
          <w:b/>
          <w:sz w:val="21"/>
        </w:rPr>
        <w:t>Deployment:</w:t>
      </w:r>
      <w:r>
        <w:rPr>
          <w:sz w:val="21"/>
        </w:rPr>
        <w:t xml:space="preserve"> NVIDIA T4 GPU instance, </w:t>
      </w:r>
      <w:r>
        <w:rPr>
          <w:rFonts w:ascii="Consolas" w:hAnsi="Consolas"/>
          <w:color w:val="8A2B06"/>
          <w:sz w:val="20"/>
        </w:rPr>
        <w:t>http://172.190.13.101/</w:t>
      </w:r>
      <w:r>
        <w:rPr>
          <w:sz w:val="21"/>
        </w:rPr>
        <w:t xml:space="preserve"> — $384/month, billed per second</w:t>
      </w:r>
    </w:p>
    <w:p>
      <w:pPr>
        <w:spacing w:after="160"/>
      </w:pPr>
      <w:r>
        <w:rPr>
          <w:b/>
          <w:sz w:val="21"/>
        </w:rPr>
        <w:t>Comparison metrics source:</w:t>
      </w:r>
      <w:r>
        <w:rPr>
          <w:sz w:val="21"/>
        </w:rPr>
        <w:t xml:space="preserve"> </w:t>
      </w:r>
      <w:r>
        <w:rPr>
          <w:rFonts w:ascii="Consolas" w:hAnsi="Consolas"/>
          <w:color w:val="8A2B06"/>
          <w:sz w:val="20"/>
        </w:rPr>
        <w:t>compare/</w:t>
      </w:r>
      <w:r>
        <w:rPr>
          <w:sz w:val="21"/>
        </w:rPr>
        <w:t xml:space="preserve"> subfolders under </w:t>
      </w:r>
      <w:r>
        <w:rPr>
          <w:rFonts w:ascii="Consolas" w:hAnsi="Consolas"/>
          <w:color w:val="8A2B06"/>
          <w:sz w:val="20"/>
        </w:rPr>
        <w:t>D:\Dev\custom_llm_outputs\completed_unseen</w:t>
      </w:r>
      <w:r>
        <w:rPr>
          <w:sz w:val="21"/>
        </w:rPr>
        <w:t xml:space="preserve"> — the 26 job directories confirmed to have </w:t>
      </w:r>
      <w:r>
        <w:rPr>
          <w:b/>
          <w:sz w:val="21"/>
        </w:rPr>
        <w:t>zero overlap</w:t>
      </w:r>
      <w:r>
        <w:rPr>
          <w:sz w:val="21"/>
        </w:rPr>
        <w:t xml:space="preserve"> with the 253-job training source corpus</w:t>
      </w:r>
    </w:p>
    <w:p>
      <w:pPr>
        <w:spacing w:after="160"/>
      </w:pPr>
      <w:r>
        <w:rPr>
          <w:b/>
          <w:sz w:val="21"/>
        </w:rPr>
        <w:t>Report generated:</w:t>
      </w:r>
      <w:r>
        <w:rPr>
          <w:sz w:val="21"/>
        </w:rPr>
        <w:t xml:space="preserve"> 2026-07-27</w:t>
      </w:r>
    </w:p>
    <w:p>
      <w:pPr>
        <w:spacing w:after="160"/>
      </w:pPr>
      <w:r>
        <w:rPr>
          <w:b/>
          <w:sz w:val="21"/>
        </w:rPr>
        <w:t>What this report is:</w:t>
      </w:r>
      <w:r>
        <w:rPr>
          <w:sz w:val="21"/>
        </w:rPr>
        <w:t xml:space="preserve"> the 2026-07-24 Evaluation &amp; Metrics Report mixed 34 in-sample documents with 26 held-out ones and only briefly summarized the held-out slice (§6 of that report). This report gives that held-out slice — the same 26 job directories, re-compared fresh on 2026-07-27 — the full breakdown the whole mixed corpus received: every metric, distribution histograms, best/worst documents and tables, and a table-size-vs-accuracy check. </w:t>
      </w:r>
      <w:r>
        <w:rPr>
          <w:b/>
          <w:sz w:val="21"/>
        </w:rPr>
        <w:t>This is not new data collected since the last report; it is the existing held-out subset analyzed in full</w:t>
      </w:r>
      <w:r>
        <w:rPr>
          <w:sz w:val="21"/>
        </w:rPr>
        <w:t>, plus a direct comparison back to the earlier mixed-corpus numbers (§6).</w:t>
      </w:r>
    </w:p>
    <w:p>
      <w:pPr>
        <w:pStyle w:val="Heading2"/>
        <w:spacing w:before="280" w:after="160"/>
      </w:pPr>
      <w:r>
        <w:rPr>
          <w:b/>
          <w:color w:val="0B0B0B"/>
          <w:sz w:val="30"/>
        </w:rPr>
        <w:t>1. Executive summary</w:t>
      </w:r>
    </w:p>
    <w:p>
      <w:pPr>
        <w:spacing w:after="160"/>
      </w:pPr>
      <w:r>
        <w:rPr>
          <w:sz w:val="21"/>
        </w:rPr>
        <w:t xml:space="preserve">Metric rows are ordered </w:t>
      </w:r>
      <w:r>
        <w:rPr>
          <w:b/>
          <w:sz w:val="21"/>
        </w:rPr>
        <w:t>best → worst</w:t>
      </w:r>
      <w:r>
        <w:rPr>
          <w:sz w:val="21"/>
        </w:rPr>
        <w:t xml:space="preserve"> throughout this report (see §3 for the full ranked list of all 20 metrics).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8D2"/>
          <w:left w:val="single" w:sz="4" w:space="0" w:color="D9D8D2"/>
          <w:bottom w:val="single" w:sz="4" w:space="0" w:color="D9D8D2"/>
          <w:right w:val="single" w:sz="4" w:space="0" w:color="D9D8D2"/>
          <w:insideH w:val="single" w:sz="4" w:space="0" w:color="D9D8D2"/>
          <w:insideV w:val="single" w:sz="4" w:space="0" w:color="D9D8D2"/>
        </w:tblBorders>
      </w:tblPr>
      <w:tblGrid>
        <w:gridCol w:w="4824"/>
        <w:gridCol w:w="4824"/>
      </w:tblGrid>
      <w:tr>
        <w:tc>
          <w:tcPr>
            <w:tcW w:type="dxa" w:w="4464"/>
            <w:shd w:val="clear" w:color="auto" w:fill="2A78D6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Metric</w:t>
            </w:r>
          </w:p>
        </w:tc>
        <w:tc>
          <w:tcPr>
            <w:tcW w:type="dxa" w:w="4464"/>
            <w:shd w:val="clear" w:color="auto" w:fill="2A78D6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4464"/>
            <w:shd w:val="clear" w:color="auto" w:fill="FCFCFB"/>
          </w:tcPr>
          <w:p>
            <w:pPr>
              <w:spacing w:after="40"/>
            </w:pPr>
            <w:r>
              <w:rPr>
                <w:b/>
                <w:sz w:val="19"/>
              </w:rPr>
              <w:t>`column_type` accuracy</w:t>
            </w:r>
          </w:p>
        </w:tc>
        <w:tc>
          <w:tcPr>
            <w:tcW w:type="dxa" w:w="4464"/>
            <w:shd w:val="clear" w:color="auto" w:fill="FCFCFB"/>
          </w:tcPr>
          <w:p>
            <w:pPr>
              <w:spacing w:after="40"/>
            </w:pPr>
            <w:r>
              <w:rPr>
                <w:b/>
                <w:sz w:val="19"/>
              </w:rPr>
              <w:t>98.3%</w:t>
            </w:r>
          </w:p>
        </w:tc>
      </w:tr>
      <w:tr>
        <w:tc>
          <w:tcPr>
            <w:tcW w:type="dxa" w:w="4464"/>
            <w:shd w:val="clear" w:color="auto" w:fill="F2F2EF"/>
          </w:tcPr>
          <w:p>
            <w:pPr>
              <w:spacing w:after="40"/>
            </w:pPr>
            <w:r>
              <w:rPr>
                <w:b/>
                <w:sz w:val="19"/>
              </w:rPr>
              <w:t>`row_type` accuracy</w:t>
            </w:r>
          </w:p>
        </w:tc>
        <w:tc>
          <w:tcPr>
            <w:tcW w:type="dxa" w:w="4464"/>
            <w:shd w:val="clear" w:color="auto" w:fill="F2F2EF"/>
          </w:tcPr>
          <w:p>
            <w:pPr>
              <w:spacing w:after="40"/>
            </w:pPr>
            <w:r>
              <w:rPr>
                <w:b/>
                <w:sz w:val="19"/>
              </w:rPr>
              <w:t>94.6%</w:t>
            </w:r>
          </w:p>
        </w:tc>
      </w:tr>
      <w:tr>
        <w:tc>
          <w:tcPr>
            <w:tcW w:type="dxa" w:w="4464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 xml:space="preserve">Cell </w:t>
            </w:r>
            <w:r>
              <w:rPr>
                <w:rFonts w:ascii="Consolas" w:hAnsi="Consolas"/>
                <w:color w:val="8A2B06"/>
                <w:sz w:val="18"/>
              </w:rPr>
              <w:t>concept_id</w:t>
            </w:r>
            <w:r>
              <w:rPr>
                <w:sz w:val="19"/>
              </w:rPr>
              <w:t xml:space="preserve"> accuracy (lexical / embedding)</w:t>
            </w:r>
          </w:p>
        </w:tc>
        <w:tc>
          <w:tcPr>
            <w:tcW w:type="dxa" w:w="4464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92.8% / 84.2%</w:t>
            </w:r>
          </w:p>
        </w:tc>
      </w:tr>
      <w:tr>
        <w:tc>
          <w:tcPr>
            <w:tcW w:type="dxa" w:w="4464"/>
            <w:shd w:val="clear" w:color="auto" w:fill="F2F2EF"/>
          </w:tcPr>
          <w:p>
            <w:pPr>
              <w:spacing w:after="40"/>
            </w:pPr>
            <w:r>
              <w:rPr>
                <w:sz w:val="19"/>
              </w:rPr>
              <w:t xml:space="preserve">Cell </w:t>
            </w:r>
            <w:r>
              <w:rPr>
                <w:rFonts w:ascii="Consolas" w:hAnsi="Consolas"/>
                <w:color w:val="8A2B06"/>
                <w:sz w:val="18"/>
              </w:rPr>
              <w:t>concept_meaning</w:t>
            </w:r>
            <w:r>
              <w:rPr>
                <w:sz w:val="19"/>
              </w:rPr>
              <w:t xml:space="preserve"> similarity (lexical / embedding)</w:t>
            </w:r>
          </w:p>
        </w:tc>
        <w:tc>
          <w:tcPr>
            <w:tcW w:type="dxa" w:w="4464"/>
            <w:shd w:val="clear" w:color="auto" w:fill="F2F2EF"/>
          </w:tcPr>
          <w:p>
            <w:pPr>
              <w:spacing w:after="40"/>
            </w:pPr>
            <w:r>
              <w:rPr>
                <w:sz w:val="19"/>
              </w:rPr>
              <w:t>72.1% / 84.0%</w:t>
            </w:r>
          </w:p>
        </w:tc>
      </w:tr>
      <w:tr>
        <w:tc>
          <w:tcPr>
            <w:tcW w:type="dxa" w:w="4464"/>
            <w:shd w:val="clear" w:color="auto" w:fill="FCFCFB"/>
          </w:tcPr>
          <w:p>
            <w:pPr>
              <w:spacing w:after="40"/>
            </w:pPr>
            <w:r>
              <w:rPr>
                <w:b/>
                <w:sz w:val="19"/>
              </w:rPr>
              <w:t>`table_type` match rate</w:t>
            </w:r>
            <w:r>
              <w:rPr>
                <w:sz w:val="19"/>
              </w:rPr>
              <w:t xml:space="preserve"> (embedding / lexical)</w:t>
            </w:r>
          </w:p>
        </w:tc>
        <w:tc>
          <w:tcPr>
            <w:tcW w:type="dxa" w:w="4464"/>
            <w:shd w:val="clear" w:color="auto" w:fill="FCFCFB"/>
          </w:tcPr>
          <w:p>
            <w:pPr>
              <w:spacing w:after="40"/>
            </w:pPr>
            <w:r>
              <w:rPr>
                <w:b/>
                <w:sz w:val="19"/>
              </w:rPr>
              <w:t>77.2% / 74.5%</w:t>
            </w:r>
          </w:p>
        </w:tc>
      </w:tr>
      <w:tr>
        <w:tc>
          <w:tcPr>
            <w:tcW w:type="dxa" w:w="4464"/>
            <w:shd w:val="clear" w:color="auto" w:fill="F2F2EF"/>
          </w:tcPr>
          <w:p>
            <w:pPr>
              <w:spacing w:after="40"/>
            </w:pPr>
            <w:r>
              <w:rPr>
                <w:sz w:val="19"/>
              </w:rPr>
              <w:t>Job directories evaluated</w:t>
            </w:r>
          </w:p>
        </w:tc>
        <w:tc>
          <w:tcPr>
            <w:tcW w:type="dxa" w:w="4464"/>
            <w:shd w:val="clear" w:color="auto" w:fill="F2F2EF"/>
          </w:tcPr>
          <w:p>
            <w:pPr>
              <w:spacing w:after="40"/>
            </w:pPr>
            <w:r>
              <w:rPr>
                <w:sz w:val="19"/>
              </w:rPr>
              <w:t>26 (26 with a completed comparison)</w:t>
            </w:r>
          </w:p>
        </w:tc>
      </w:tr>
      <w:tr>
        <w:tc>
          <w:tcPr>
            <w:tcW w:type="dxa" w:w="4464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Unique source documents</w:t>
            </w:r>
          </w:p>
        </w:tc>
        <w:tc>
          <w:tcPr>
            <w:tcW w:type="dxa" w:w="4464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24</w:t>
            </w:r>
          </w:p>
        </w:tc>
      </w:tr>
      <w:tr>
        <w:tc>
          <w:tcPr>
            <w:tcW w:type="dxa" w:w="4464"/>
            <w:shd w:val="clear" w:color="auto" w:fill="F2F2EF"/>
          </w:tcPr>
          <w:p>
            <w:pPr>
              <w:spacing w:after="40"/>
            </w:pPr>
            <w:r>
              <w:rPr>
                <w:sz w:val="19"/>
              </w:rPr>
              <w:t>Tables compared (reference label vs. model output)</w:t>
            </w:r>
          </w:p>
        </w:tc>
        <w:tc>
          <w:tcPr>
            <w:tcW w:type="dxa" w:w="4464"/>
            <w:shd w:val="clear" w:color="auto" w:fill="F2F2EF"/>
          </w:tcPr>
          <w:p>
            <w:pPr>
              <w:spacing w:after="40"/>
            </w:pPr>
            <w:r>
              <w:rPr>
                <w:sz w:val="19"/>
              </w:rPr>
              <w:t>184</w:t>
            </w:r>
          </w:p>
        </w:tc>
      </w:tr>
      <w:tr>
        <w:tc>
          <w:tcPr>
            <w:tcW w:type="dxa" w:w="4464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Inference errors during generation</w:t>
            </w:r>
          </w:p>
        </w:tc>
        <w:tc>
          <w:tcPr>
            <w:tcW w:type="dxa" w:w="4464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2 of 186 attempted tables (1.1%)</w:t>
            </w:r>
          </w:p>
        </w:tc>
      </w:tr>
      <w:tr>
        <w:tc>
          <w:tcPr>
            <w:tcW w:type="dxa" w:w="4464"/>
            <w:shd w:val="clear" w:color="auto" w:fill="F2F2EF"/>
          </w:tcPr>
          <w:p>
            <w:pPr>
              <w:spacing w:after="40"/>
            </w:pPr>
            <w:r>
              <w:rPr>
                <w:sz w:val="19"/>
              </w:rPr>
              <w:t>Median inference latency</w:t>
            </w:r>
          </w:p>
        </w:tc>
        <w:tc>
          <w:tcPr>
            <w:tcW w:type="dxa" w:w="4464"/>
            <w:shd w:val="clear" w:color="auto" w:fill="F2F2EF"/>
          </w:tcPr>
          <w:p>
            <w:pPr>
              <w:spacing w:after="40"/>
            </w:pPr>
            <w:r>
              <w:rPr>
                <w:sz w:val="19"/>
              </w:rPr>
              <w:t>26.4 s/table (mean 26.8 s/table)</w:t>
            </w:r>
          </w:p>
        </w:tc>
      </w:tr>
      <w:tr>
        <w:tc>
          <w:tcPr>
            <w:tcW w:type="dxa" w:w="4464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vs. the 2026-07-24 mixed-corpus report</w:t>
            </w:r>
          </w:p>
        </w:tc>
        <w:tc>
          <w:tcPr>
            <w:tcW w:type="dxa" w:w="4464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 xml:space="preserve">Structural metrics: </w:t>
            </w:r>
            <w:r>
              <w:rPr>
                <w:b/>
                <w:sz w:val="19"/>
              </w:rPr>
              <w:t>±0.1–0.2 pp</w:t>
            </w:r>
            <w:r>
              <w:rPr>
                <w:sz w:val="19"/>
              </w:rPr>
              <w:t xml:space="preserve"> · </w:t>
            </w:r>
            <w:r>
              <w:rPr>
                <w:rFonts w:ascii="Consolas" w:hAnsi="Consolas"/>
                <w:color w:val="8A2B06"/>
                <w:sz w:val="18"/>
              </w:rPr>
              <w:t>table_type</w:t>
            </w:r>
            <w:r>
              <w:rPr>
                <w:sz w:val="19"/>
              </w:rPr>
              <w:t xml:space="preserve"> match: </w:t>
            </w:r>
            <w:r>
              <w:rPr>
                <w:b/>
                <w:sz w:val="19"/>
              </w:rPr>
              <w:t>−2.9 pp</w:t>
            </w:r>
            <w:r>
              <w:rPr>
                <w:sz w:val="19"/>
              </w:rPr>
              <w:t xml:space="preserve"> · </w:t>
            </w:r>
            <w:r>
              <w:rPr>
                <w:rFonts w:ascii="Consolas" w:hAnsi="Consolas"/>
                <w:color w:val="8A2B06"/>
                <w:sz w:val="18"/>
              </w:rPr>
              <w:t>concept_id</w:t>
            </w:r>
            <w:r>
              <w:rPr>
                <w:sz w:val="19"/>
              </w:rPr>
              <w:t xml:space="preserve"> lexical: </w:t>
            </w:r>
            <w:r>
              <w:rPr>
                <w:b/>
                <w:sz w:val="19"/>
              </w:rPr>
              <w:t>+7.9 pp</w:t>
            </w:r>
            <w:r>
              <w:rPr>
                <w:sz w:val="19"/>
              </w:rPr>
              <w:t xml:space="preserve"> (see §6 for why that last gap is a sampling artifact, not a real advantage)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sz w:val="21"/>
        </w:rPr>
        <w:t>What this measures:</w:t>
      </w:r>
      <w:r>
        <w:rPr>
          <w:sz w:val="21"/>
        </w:rPr>
        <w:t xml:space="preserve"> every </w:t>
      </w:r>
      <w:r>
        <w:rPr>
          <w:rFonts w:ascii="Consolas" w:hAnsi="Consolas"/>
          <w:color w:val="8A2B06"/>
          <w:sz w:val="20"/>
        </w:rPr>
        <w:t>compare_tbl-*.json</w:t>
      </w:r>
      <w:r>
        <w:rPr>
          <w:sz w:val="21"/>
        </w:rPr>
        <w:t xml:space="preserve"> scores the quantized local model's output (the "candidate") against the same table's original Azure-generated label (the "reference") — i.e. it measures </w:t>
      </w:r>
      <w:r>
        <w:rPr>
          <w:b/>
          <w:sz w:val="21"/>
        </w:rPr>
        <w:t>fidelity to the teacher labels the model was fine-tuned to imitate</w:t>
      </w:r>
      <w:r>
        <w:rPr>
          <w:sz w:val="21"/>
        </w:rPr>
        <w:t>, not correctness against independently audited ground truth. See §9 for why that distinction matters, and see the 2026-07-24 report's §9 for the full deployment cost/capacity analysis (unchanged by which document subset is evaluated here).</w:t>
      </w:r>
    </w:p>
    <w:p>
      <w:pPr>
        <w:pStyle w:val="Heading2"/>
        <w:spacing w:before="280" w:after="160"/>
      </w:pPr>
      <w:r>
        <w:rPr>
          <w:b/>
          <w:color w:val="0B0B0B"/>
          <w:sz w:val="30"/>
        </w:rPr>
        <w:t>2. Evaluation setup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8D2"/>
          <w:left w:val="single" w:sz="4" w:space="0" w:color="D9D8D2"/>
          <w:bottom w:val="single" w:sz="4" w:space="0" w:color="D9D8D2"/>
          <w:right w:val="single" w:sz="4" w:space="0" w:color="D9D8D2"/>
          <w:insideH w:val="single" w:sz="4" w:space="0" w:color="D9D8D2"/>
          <w:insideV w:val="single" w:sz="4" w:space="0" w:color="D9D8D2"/>
        </w:tblBorders>
      </w:tblPr>
      <w:tblGrid>
        <w:gridCol w:w="4824"/>
        <w:gridCol w:w="4824"/>
      </w:tblGrid>
      <w:tr>
        <w:tc>
          <w:tcPr>
            <w:tcW w:type="dxa" w:w="4464"/>
            <w:shd w:val="clear" w:color="auto" w:fill="2A78D6"/>
          </w:tcPr>
          <w:p>
            <w:pPr>
              <w:spacing w:after="40"/>
            </w:pPr>
          </w:p>
        </w:tc>
        <w:tc>
          <w:tcPr>
            <w:tcW w:type="dxa" w:w="4464"/>
            <w:shd w:val="clear" w:color="auto" w:fill="2A78D6"/>
          </w:tcPr>
          <w:p>
            <w:pPr>
              <w:spacing w:after="40"/>
            </w:pPr>
          </w:p>
        </w:tc>
      </w:tr>
      <w:tr>
        <w:tc>
          <w:tcPr>
            <w:tcW w:type="dxa" w:w="4464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Model file</w:t>
            </w:r>
          </w:p>
        </w:tc>
        <w:tc>
          <w:tcPr>
            <w:tcW w:type="dxa" w:w="4464"/>
            <w:shd w:val="clear" w:color="auto" w:fill="FCFCFB"/>
          </w:tcPr>
          <w:p>
            <w:pPr>
              <w:spacing w:after="40"/>
            </w:pPr>
            <w:r>
              <w:rPr>
                <w:rFonts w:ascii="Consolas" w:hAnsi="Consolas"/>
                <w:color w:val="8A2B06"/>
                <w:sz w:val="18"/>
              </w:rPr>
              <w:t>merged_Qwen3.5-4B_v16v2_clean_dataset_210726_fp16-Q6_K.gguf</w:t>
            </w:r>
          </w:p>
        </w:tc>
      </w:tr>
      <w:tr>
        <w:tc>
          <w:tcPr>
            <w:tcW w:type="dxa" w:w="4464"/>
            <w:shd w:val="clear" w:color="auto" w:fill="F2F2EF"/>
          </w:tcPr>
          <w:p>
            <w:pPr>
              <w:spacing w:after="40"/>
            </w:pPr>
            <w:r>
              <w:rPr>
                <w:sz w:val="19"/>
              </w:rPr>
              <w:t>Quantization</w:t>
            </w:r>
          </w:p>
        </w:tc>
        <w:tc>
          <w:tcPr>
            <w:tcW w:type="dxa" w:w="4464"/>
            <w:shd w:val="clear" w:color="auto" w:fill="F2F2EF"/>
          </w:tcPr>
          <w:p>
            <w:pPr>
              <w:spacing w:after="40"/>
            </w:pPr>
            <w:r>
              <w:rPr>
                <w:sz w:val="19"/>
              </w:rPr>
              <w:t>Q6_K (llama.cpp GGUF), 3.23 GiB vs. 7.85 GiB fp16 source</w:t>
            </w:r>
          </w:p>
        </w:tc>
      </w:tr>
      <w:tr>
        <w:tc>
          <w:tcPr>
            <w:tcW w:type="dxa" w:w="4464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Serving</w:t>
            </w:r>
          </w:p>
        </w:tc>
        <w:tc>
          <w:tcPr>
            <w:tcW w:type="dxa" w:w="4464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Local llama.cpp server (</w:t>
            </w:r>
            <w:r>
              <w:rPr>
                <w:rFonts w:ascii="Consolas" w:hAnsi="Consolas"/>
                <w:color w:val="8A2B06"/>
                <w:sz w:val="18"/>
              </w:rPr>
              <w:t>http://127.0.0.1:8080/completion</w:t>
            </w:r>
            <w:r>
              <w:rPr>
                <w:sz w:val="19"/>
              </w:rPr>
              <w:t>)</w:t>
            </w:r>
          </w:p>
        </w:tc>
      </w:tr>
      <w:tr>
        <w:tc>
          <w:tcPr>
            <w:tcW w:type="dxa" w:w="4464"/>
            <w:shd w:val="clear" w:color="auto" w:fill="F2F2EF"/>
          </w:tcPr>
          <w:p>
            <w:pPr>
              <w:spacing w:after="40"/>
            </w:pPr>
            <w:r>
              <w:rPr>
                <w:sz w:val="19"/>
              </w:rPr>
              <w:t>Production deployment</w:t>
            </w:r>
          </w:p>
        </w:tc>
        <w:tc>
          <w:tcPr>
            <w:tcW w:type="dxa" w:w="4464"/>
            <w:shd w:val="clear" w:color="auto" w:fill="F2F2EF"/>
          </w:tcPr>
          <w:p>
            <w:pPr>
              <w:spacing w:after="40"/>
            </w:pPr>
            <w:r>
              <w:rPr>
                <w:sz w:val="19"/>
              </w:rPr>
              <w:t xml:space="preserve">NVIDIA T4 GPU instance at </w:t>
            </w:r>
            <w:r>
              <w:rPr>
                <w:rFonts w:ascii="Consolas" w:hAnsi="Consolas"/>
                <w:color w:val="8A2B06"/>
                <w:sz w:val="18"/>
              </w:rPr>
              <w:t>http://172.190.13.101/</w:t>
            </w:r>
          </w:p>
        </w:tc>
      </w:tr>
      <w:tr>
        <w:tc>
          <w:tcPr>
            <w:tcW w:type="dxa" w:w="4464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Base checkpoint</w:t>
            </w:r>
          </w:p>
        </w:tc>
        <w:tc>
          <w:tcPr>
            <w:tcW w:type="dxa" w:w="4464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Merged LoRA adapter (</w:t>
            </w:r>
            <w:r>
              <w:rPr>
                <w:rFonts w:ascii="Consolas" w:hAnsi="Consolas"/>
                <w:color w:val="8A2B06"/>
                <w:sz w:val="18"/>
              </w:rPr>
              <w:t>teamspace_uploads_Qwen3.5-4B_v16v2_clean_dataset_220726_3epochs</w:t>
            </w:r>
            <w:r>
              <w:rPr>
                <w:sz w:val="19"/>
              </w:rPr>
              <w:t xml:space="preserve">) + Qwen/Qwen3.5-4B, merged via </w:t>
            </w:r>
            <w:r>
              <w:rPr>
                <w:rFonts w:ascii="Consolas" w:hAnsi="Consolas"/>
                <w:color w:val="8A2B06"/>
                <w:sz w:val="18"/>
              </w:rPr>
              <w:t>merge_model.py</w:t>
            </w:r>
          </w:p>
        </w:tc>
      </w:tr>
      <w:tr>
        <w:tc>
          <w:tcPr>
            <w:tcW w:type="dxa" w:w="4464"/>
            <w:shd w:val="clear" w:color="auto" w:fill="F2F2EF"/>
          </w:tcPr>
          <w:p>
            <w:pPr>
              <w:spacing w:after="40"/>
            </w:pPr>
            <w:r>
              <w:rPr>
                <w:sz w:val="19"/>
              </w:rPr>
              <w:t>Evaluation harness</w:t>
            </w:r>
          </w:p>
        </w:tc>
        <w:tc>
          <w:tcPr>
            <w:tcW w:type="dxa" w:w="4464"/>
            <w:shd w:val="clear" w:color="auto" w:fill="F2F2EF"/>
          </w:tcPr>
          <w:p>
            <w:pPr>
              <w:spacing w:after="40"/>
            </w:pPr>
            <w:r>
              <w:rPr>
                <w:sz w:val="19"/>
              </w:rPr>
              <w:t xml:space="preserve">Same pipeline as the 2026-07-24 report: run the quantized model over every financial table already labeled by Azure → write </w:t>
            </w:r>
            <w:r>
              <w:rPr>
                <w:rFonts w:ascii="Consolas" w:hAnsi="Consolas"/>
                <w:color w:val="8A2B06"/>
                <w:sz w:val="18"/>
              </w:rPr>
              <w:t>classify_tbl-N_response_customllm.json</w:t>
            </w:r>
            <w:r>
              <w:rPr>
                <w:sz w:val="19"/>
              </w:rPr>
              <w:t xml:space="preserve"> → diff against </w:t>
            </w:r>
            <w:r>
              <w:rPr>
                <w:rFonts w:ascii="Consolas" w:hAnsi="Consolas"/>
                <w:color w:val="8A2B06"/>
                <w:sz w:val="18"/>
              </w:rPr>
              <w:t>classify_tbl-N_response.json</w:t>
            </w:r>
            <w:r>
              <w:rPr>
                <w:sz w:val="19"/>
              </w:rPr>
              <w:t xml:space="preserve"> field-by-field → write </w:t>
            </w:r>
            <w:r>
              <w:rPr>
                <w:rFonts w:ascii="Consolas" w:hAnsi="Consolas"/>
                <w:color w:val="8A2B06"/>
                <w:sz w:val="18"/>
              </w:rPr>
              <w:t>compare/compare_tbl-N.json</w:t>
            </w:r>
            <w:r>
              <w:rPr>
                <w:sz w:val="19"/>
              </w:rPr>
              <w:t xml:space="preserve"> + a per-job </w:t>
            </w:r>
            <w:r>
              <w:rPr>
                <w:rFonts w:ascii="Consolas" w:hAnsi="Consolas"/>
                <w:color w:val="8A2B06"/>
                <w:sz w:val="18"/>
              </w:rPr>
              <w:t>compare/compare_summary.json</w:t>
            </w:r>
          </w:p>
        </w:tc>
      </w:tr>
      <w:tr>
        <w:tc>
          <w:tcPr>
            <w:tcW w:type="dxa" w:w="4464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Comparison fields</w:t>
            </w:r>
          </w:p>
        </w:tc>
        <w:tc>
          <w:tcPr>
            <w:tcW w:type="dxa" w:w="4464"/>
            <w:shd w:val="clear" w:color="auto" w:fill="FCFCFB"/>
          </w:tcPr>
          <w:p>
            <w:pPr>
              <w:spacing w:after="40"/>
            </w:pPr>
            <w:r>
              <w:rPr>
                <w:rFonts w:ascii="Consolas" w:hAnsi="Consolas"/>
                <w:color w:val="8A2B06"/>
                <w:sz w:val="18"/>
              </w:rPr>
              <w:t>table_type</w:t>
            </w:r>
            <w:r>
              <w:rPr>
                <w:sz w:val="19"/>
              </w:rPr>
              <w:t xml:space="preserve"> (lexical + embedding similarity), row </w:t>
            </w:r>
            <w:r>
              <w:rPr>
                <w:rFonts w:ascii="Consolas" w:hAnsi="Consolas"/>
                <w:color w:val="8A2B06"/>
                <w:sz w:val="18"/>
              </w:rPr>
              <w:t>row_type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color w:val="8A2B06"/>
                <w:sz w:val="18"/>
              </w:rPr>
              <w:t>is_signed_negative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color w:val="8A2B06"/>
                <w:sz w:val="18"/>
              </w:rPr>
              <w:t>direction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color w:val="8A2B06"/>
                <w:sz w:val="18"/>
              </w:rPr>
              <w:t>note_ref_value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color w:val="8A2B06"/>
                <w:sz w:val="18"/>
              </w:rPr>
              <w:t>contributing_rows</w:t>
            </w:r>
            <w:r>
              <w:rPr>
                <w:sz w:val="19"/>
              </w:rPr>
              <w:t xml:space="preserve">, column </w:t>
            </w:r>
            <w:r>
              <w:rPr>
                <w:rFonts w:ascii="Consolas" w:hAnsi="Consolas"/>
                <w:color w:val="8A2B06"/>
                <w:sz w:val="18"/>
              </w:rPr>
              <w:t>column_type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color w:val="8A2B06"/>
                <w:sz w:val="18"/>
              </w:rPr>
              <w:t>direction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color w:val="8A2B06"/>
                <w:sz w:val="18"/>
              </w:rPr>
              <w:t>contributing_columns</w:t>
            </w:r>
            <w:r>
              <w:rPr>
                <w:sz w:val="19"/>
              </w:rPr>
              <w:t xml:space="preserve">, cell </w:t>
            </w:r>
            <w:r>
              <w:rPr>
                <w:rFonts w:ascii="Consolas" w:hAnsi="Consolas"/>
                <w:color w:val="8A2B06"/>
                <w:sz w:val="18"/>
              </w:rPr>
              <w:t>unit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color w:val="8A2B06"/>
                <w:sz w:val="18"/>
              </w:rPr>
              <w:t>scale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color w:val="8A2B06"/>
                <w:sz w:val="18"/>
              </w:rPr>
              <w:t>scale_multiplier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color w:val="8A2B06"/>
                <w:sz w:val="18"/>
              </w:rPr>
              <w:t>reporting_period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color w:val="8A2B06"/>
                <w:sz w:val="18"/>
              </w:rPr>
              <w:t>concept_id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color w:val="8A2B06"/>
                <w:sz w:val="18"/>
              </w:rPr>
              <w:t>concept_meaning</w:t>
            </w:r>
          </w:p>
        </w:tc>
      </w:tr>
      <w:tr>
        <w:tc>
          <w:tcPr>
            <w:tcW w:type="dxa" w:w="4464"/>
            <w:shd w:val="clear" w:color="auto" w:fill="F2F2EF"/>
          </w:tcPr>
          <w:p>
            <w:pPr>
              <w:spacing w:after="40"/>
            </w:pPr>
            <w:r>
              <w:rPr>
                <w:sz w:val="19"/>
              </w:rPr>
              <w:t>Job dirs evaluated</w:t>
            </w:r>
          </w:p>
        </w:tc>
        <w:tc>
          <w:tcPr>
            <w:tcW w:type="dxa" w:w="4464"/>
            <w:shd w:val="clear" w:color="auto" w:fill="F2F2EF"/>
          </w:tcPr>
          <w:p>
            <w:pPr>
              <w:spacing w:after="40"/>
            </w:pPr>
            <w:r>
              <w:rPr>
                <w:sz w:val="19"/>
              </w:rPr>
              <w:t xml:space="preserve">26, verified to have </w:t>
            </w:r>
            <w:r>
              <w:rPr>
                <w:b/>
                <w:sz w:val="19"/>
              </w:rPr>
              <w:t>zero</w:t>
            </w:r>
            <w:r>
              <w:rPr>
                <w:sz w:val="19"/>
              </w:rPr>
              <w:t xml:space="preserve"> job-ID overlap with the 253-job training source corpus (</w:t>
            </w:r>
            <w:r>
              <w:rPr>
                <w:rFonts w:ascii="Consolas" w:hAnsi="Consolas"/>
                <w:color w:val="8A2B06"/>
                <w:sz w:val="18"/>
              </w:rPr>
              <w:t>data_raw_in_out_jsons_200726</w:t>
            </w:r>
            <w:r>
              <w:rPr>
                <w:sz w:val="19"/>
              </w:rPr>
              <w:t>) — this set is genuinely unseen, not a sample that happens to score well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b/>
          <w:color w:val="0B0B0B"/>
          <w:sz w:val="30"/>
        </w:rPr>
        <w:t>3. Overall accuracy — all 20 comparison metrics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760720" cy="54726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al_unseen_overall_metric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72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sz w:val="21"/>
        </w:rPr>
        <w:t xml:space="preserve">Job-weighted average across 184 compared tables — </w:t>
      </w:r>
      <w:r>
        <w:rPr>
          <w:b/>
          <w:sz w:val="21"/>
        </w:rPr>
        <w:t>ranked best to worst</w:t>
      </w:r>
      <w:r>
        <w:rPr>
          <w:sz w:val="21"/>
        </w:rPr>
        <w:t>, colored by what's being compared: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8D2"/>
          <w:left w:val="single" w:sz="4" w:space="0" w:color="D9D8D2"/>
          <w:bottom w:val="single" w:sz="4" w:space="0" w:color="D9D8D2"/>
          <w:right w:val="single" w:sz="4" w:space="0" w:color="D9D8D2"/>
          <w:insideH w:val="single" w:sz="4" w:space="0" w:color="D9D8D2"/>
          <w:insideV w:val="single" w:sz="4" w:space="0" w:color="D9D8D2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2232"/>
            <w:shd w:val="clear" w:color="auto" w:fill="2A78D6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Rank</w:t>
            </w:r>
          </w:p>
        </w:tc>
        <w:tc>
          <w:tcPr>
            <w:tcW w:type="dxa" w:w="2232"/>
            <w:shd w:val="clear" w:color="auto" w:fill="2A78D6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Group</w:t>
            </w:r>
          </w:p>
        </w:tc>
        <w:tc>
          <w:tcPr>
            <w:tcW w:type="dxa" w:w="2232"/>
            <w:shd w:val="clear" w:color="auto" w:fill="2A78D6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Metric</w:t>
            </w:r>
          </w:p>
        </w:tc>
        <w:tc>
          <w:tcPr>
            <w:tcW w:type="dxa" w:w="2232"/>
            <w:shd w:val="clear" w:color="auto" w:fill="2A78D6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Score</w:t>
            </w:r>
          </w:p>
        </w:tc>
      </w:tr>
      <w:tr>
        <w:tc>
          <w:tcPr>
            <w:tcW w:type="dxa" w:w="2232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1</w:t>
            </w:r>
          </w:p>
        </w:tc>
        <w:tc>
          <w:tcPr>
            <w:tcW w:type="dxa" w:w="2232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Column</w:t>
            </w:r>
          </w:p>
        </w:tc>
        <w:tc>
          <w:tcPr>
            <w:tcW w:type="dxa" w:w="2232"/>
            <w:shd w:val="clear" w:color="auto" w:fill="FCFCFB"/>
          </w:tcPr>
          <w:p>
            <w:pPr>
              <w:spacing w:after="40"/>
            </w:pPr>
            <w:r>
              <w:rPr>
                <w:rFonts w:ascii="Consolas" w:hAnsi="Consolas"/>
                <w:color w:val="8A2B06"/>
                <w:sz w:val="18"/>
              </w:rPr>
              <w:t>contributing_columns</w:t>
            </w:r>
            <w:r>
              <w:rPr>
                <w:sz w:val="19"/>
              </w:rPr>
              <w:t xml:space="preserve"> accuracy</w:t>
            </w:r>
          </w:p>
        </w:tc>
        <w:tc>
          <w:tcPr>
            <w:tcW w:type="dxa" w:w="2232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99.7%</w:t>
            </w:r>
          </w:p>
        </w:tc>
      </w:tr>
      <w:tr>
        <w:tc>
          <w:tcPr>
            <w:tcW w:type="dxa" w:w="2232"/>
            <w:shd w:val="clear" w:color="auto" w:fill="F2F2EF"/>
          </w:tcPr>
          <w:p>
            <w:pPr>
              <w:spacing w:after="40"/>
            </w:pPr>
            <w:r>
              <w:rPr>
                <w:sz w:val="19"/>
              </w:rPr>
              <w:t>2</w:t>
            </w:r>
          </w:p>
        </w:tc>
        <w:tc>
          <w:tcPr>
            <w:tcW w:type="dxa" w:w="2232"/>
            <w:shd w:val="clear" w:color="auto" w:fill="F2F2EF"/>
          </w:tcPr>
          <w:p>
            <w:pPr>
              <w:spacing w:after="40"/>
            </w:pPr>
            <w:r>
              <w:rPr>
                <w:sz w:val="19"/>
              </w:rPr>
              <w:t>Row</w:t>
            </w:r>
          </w:p>
        </w:tc>
        <w:tc>
          <w:tcPr>
            <w:tcW w:type="dxa" w:w="2232"/>
            <w:shd w:val="clear" w:color="auto" w:fill="F2F2EF"/>
          </w:tcPr>
          <w:p>
            <w:pPr>
              <w:spacing w:after="40"/>
            </w:pPr>
            <w:r>
              <w:rPr>
                <w:rFonts w:ascii="Consolas" w:hAnsi="Consolas"/>
                <w:color w:val="8A2B06"/>
                <w:sz w:val="18"/>
              </w:rPr>
              <w:t>direction</w:t>
            </w:r>
            <w:r>
              <w:rPr>
                <w:sz w:val="19"/>
              </w:rPr>
              <w:t xml:space="preserve"> accuracy</w:t>
            </w:r>
          </w:p>
        </w:tc>
        <w:tc>
          <w:tcPr>
            <w:tcW w:type="dxa" w:w="2232"/>
            <w:shd w:val="clear" w:color="auto" w:fill="F2F2EF"/>
          </w:tcPr>
          <w:p>
            <w:pPr>
              <w:spacing w:after="40"/>
            </w:pPr>
            <w:r>
              <w:rPr>
                <w:sz w:val="19"/>
              </w:rPr>
              <w:t>99.6%</w:t>
            </w:r>
          </w:p>
        </w:tc>
      </w:tr>
      <w:tr>
        <w:tc>
          <w:tcPr>
            <w:tcW w:type="dxa" w:w="2232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2</w:t>
            </w:r>
          </w:p>
        </w:tc>
        <w:tc>
          <w:tcPr>
            <w:tcW w:type="dxa" w:w="2232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Column</w:t>
            </w:r>
          </w:p>
        </w:tc>
        <w:tc>
          <w:tcPr>
            <w:tcW w:type="dxa" w:w="2232"/>
            <w:shd w:val="clear" w:color="auto" w:fill="FCFCFB"/>
          </w:tcPr>
          <w:p>
            <w:pPr>
              <w:spacing w:after="40"/>
            </w:pPr>
            <w:r>
              <w:rPr>
                <w:rFonts w:ascii="Consolas" w:hAnsi="Consolas"/>
                <w:color w:val="8A2B06"/>
                <w:sz w:val="18"/>
              </w:rPr>
              <w:t>direction</w:t>
            </w:r>
            <w:r>
              <w:rPr>
                <w:sz w:val="19"/>
              </w:rPr>
              <w:t xml:space="preserve"> accuracy</w:t>
            </w:r>
          </w:p>
        </w:tc>
        <w:tc>
          <w:tcPr>
            <w:tcW w:type="dxa" w:w="2232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99.6%</w:t>
            </w:r>
          </w:p>
        </w:tc>
      </w:tr>
      <w:tr>
        <w:tc>
          <w:tcPr>
            <w:tcW w:type="dxa" w:w="2232"/>
            <w:shd w:val="clear" w:color="auto" w:fill="F2F2EF"/>
          </w:tcPr>
          <w:p>
            <w:pPr>
              <w:spacing w:after="40"/>
            </w:pPr>
            <w:r>
              <w:rPr>
                <w:sz w:val="19"/>
              </w:rPr>
              <w:t>4</w:t>
            </w:r>
          </w:p>
        </w:tc>
        <w:tc>
          <w:tcPr>
            <w:tcW w:type="dxa" w:w="2232"/>
            <w:shd w:val="clear" w:color="auto" w:fill="F2F2EF"/>
          </w:tcPr>
          <w:p>
            <w:pPr>
              <w:spacing w:after="40"/>
            </w:pPr>
            <w:r>
              <w:rPr>
                <w:sz w:val="19"/>
              </w:rPr>
              <w:t>Column</w:t>
            </w:r>
          </w:p>
        </w:tc>
        <w:tc>
          <w:tcPr>
            <w:tcW w:type="dxa" w:w="2232"/>
            <w:shd w:val="clear" w:color="auto" w:fill="F2F2EF"/>
          </w:tcPr>
          <w:p>
            <w:pPr>
              <w:spacing w:after="40"/>
            </w:pPr>
            <w:r>
              <w:rPr>
                <w:rFonts w:ascii="Consolas" w:hAnsi="Consolas"/>
                <w:color w:val="8A2B06"/>
                <w:sz w:val="18"/>
              </w:rPr>
              <w:t>column_type</w:t>
            </w:r>
            <w:r>
              <w:rPr>
                <w:sz w:val="19"/>
              </w:rPr>
              <w:t xml:space="preserve"> accuracy</w:t>
            </w:r>
          </w:p>
        </w:tc>
        <w:tc>
          <w:tcPr>
            <w:tcW w:type="dxa" w:w="2232"/>
            <w:shd w:val="clear" w:color="auto" w:fill="F2F2EF"/>
          </w:tcPr>
          <w:p>
            <w:pPr>
              <w:spacing w:after="40"/>
            </w:pPr>
            <w:r>
              <w:rPr>
                <w:sz w:val="19"/>
              </w:rPr>
              <w:t>98.3%</w:t>
            </w:r>
          </w:p>
        </w:tc>
      </w:tr>
      <w:tr>
        <w:tc>
          <w:tcPr>
            <w:tcW w:type="dxa" w:w="2232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5</w:t>
            </w:r>
          </w:p>
        </w:tc>
        <w:tc>
          <w:tcPr>
            <w:tcW w:type="dxa" w:w="2232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Row</w:t>
            </w:r>
          </w:p>
        </w:tc>
        <w:tc>
          <w:tcPr>
            <w:tcW w:type="dxa" w:w="2232"/>
            <w:shd w:val="clear" w:color="auto" w:fill="FCFCFB"/>
          </w:tcPr>
          <w:p>
            <w:pPr>
              <w:spacing w:after="40"/>
            </w:pPr>
            <w:r>
              <w:rPr>
                <w:rFonts w:ascii="Consolas" w:hAnsi="Consolas"/>
                <w:color w:val="8A2B06"/>
                <w:sz w:val="18"/>
              </w:rPr>
              <w:t>contributing_rows</w:t>
            </w:r>
            <w:r>
              <w:rPr>
                <w:sz w:val="19"/>
              </w:rPr>
              <w:t xml:space="preserve"> accuracy</w:t>
            </w:r>
          </w:p>
        </w:tc>
        <w:tc>
          <w:tcPr>
            <w:tcW w:type="dxa" w:w="2232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96.6%</w:t>
            </w:r>
          </w:p>
        </w:tc>
      </w:tr>
      <w:tr>
        <w:tc>
          <w:tcPr>
            <w:tcW w:type="dxa" w:w="2232"/>
            <w:shd w:val="clear" w:color="auto" w:fill="F2F2EF"/>
          </w:tcPr>
          <w:p>
            <w:pPr>
              <w:spacing w:after="40"/>
            </w:pPr>
            <w:r>
              <w:rPr>
                <w:sz w:val="19"/>
              </w:rPr>
              <w:t>6</w:t>
            </w:r>
          </w:p>
        </w:tc>
        <w:tc>
          <w:tcPr>
            <w:tcW w:type="dxa" w:w="2232"/>
            <w:shd w:val="clear" w:color="auto" w:fill="F2F2EF"/>
          </w:tcPr>
          <w:p>
            <w:pPr>
              <w:spacing w:after="40"/>
            </w:pPr>
            <w:r>
              <w:rPr>
                <w:sz w:val="19"/>
              </w:rPr>
              <w:t>Row</w:t>
            </w:r>
          </w:p>
        </w:tc>
        <w:tc>
          <w:tcPr>
            <w:tcW w:type="dxa" w:w="2232"/>
            <w:shd w:val="clear" w:color="auto" w:fill="F2F2EF"/>
          </w:tcPr>
          <w:p>
            <w:pPr>
              <w:spacing w:after="40"/>
            </w:pPr>
            <w:r>
              <w:rPr>
                <w:rFonts w:ascii="Consolas" w:hAnsi="Consolas"/>
                <w:color w:val="8A2B06"/>
                <w:sz w:val="18"/>
              </w:rPr>
              <w:t>note_ref_value</w:t>
            </w:r>
            <w:r>
              <w:rPr>
                <w:sz w:val="19"/>
              </w:rPr>
              <w:t xml:space="preserve"> accuracy</w:t>
            </w:r>
          </w:p>
        </w:tc>
        <w:tc>
          <w:tcPr>
            <w:tcW w:type="dxa" w:w="2232"/>
            <w:shd w:val="clear" w:color="auto" w:fill="F2F2EF"/>
          </w:tcPr>
          <w:p>
            <w:pPr>
              <w:spacing w:after="40"/>
            </w:pPr>
            <w:r>
              <w:rPr>
                <w:sz w:val="19"/>
              </w:rPr>
              <w:t>94.9%</w:t>
            </w:r>
          </w:p>
        </w:tc>
      </w:tr>
      <w:tr>
        <w:tc>
          <w:tcPr>
            <w:tcW w:type="dxa" w:w="2232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7</w:t>
            </w:r>
          </w:p>
        </w:tc>
        <w:tc>
          <w:tcPr>
            <w:tcW w:type="dxa" w:w="2232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Row</w:t>
            </w:r>
          </w:p>
        </w:tc>
        <w:tc>
          <w:tcPr>
            <w:tcW w:type="dxa" w:w="2232"/>
            <w:shd w:val="clear" w:color="auto" w:fill="FCFCFB"/>
          </w:tcPr>
          <w:p>
            <w:pPr>
              <w:spacing w:after="40"/>
            </w:pPr>
            <w:r>
              <w:rPr>
                <w:rFonts w:ascii="Consolas" w:hAnsi="Consolas"/>
                <w:color w:val="8A2B06"/>
                <w:sz w:val="18"/>
              </w:rPr>
              <w:t>row_type</w:t>
            </w:r>
            <w:r>
              <w:rPr>
                <w:sz w:val="19"/>
              </w:rPr>
              <w:t xml:space="preserve"> accuracy</w:t>
            </w:r>
          </w:p>
        </w:tc>
        <w:tc>
          <w:tcPr>
            <w:tcW w:type="dxa" w:w="2232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94.6%</w:t>
            </w:r>
          </w:p>
        </w:tc>
      </w:tr>
      <w:tr>
        <w:tc>
          <w:tcPr>
            <w:tcW w:type="dxa" w:w="2232"/>
            <w:shd w:val="clear" w:color="auto" w:fill="F2F2EF"/>
          </w:tcPr>
          <w:p>
            <w:pPr>
              <w:spacing w:after="40"/>
            </w:pPr>
            <w:r>
              <w:rPr>
                <w:sz w:val="19"/>
              </w:rPr>
              <w:t>8</w:t>
            </w:r>
          </w:p>
        </w:tc>
        <w:tc>
          <w:tcPr>
            <w:tcW w:type="dxa" w:w="2232"/>
            <w:shd w:val="clear" w:color="auto" w:fill="F2F2EF"/>
          </w:tcPr>
          <w:p>
            <w:pPr>
              <w:spacing w:after="40"/>
            </w:pPr>
            <w:r>
              <w:rPr>
                <w:sz w:val="19"/>
              </w:rPr>
              <w:t>Cell</w:t>
            </w:r>
          </w:p>
        </w:tc>
        <w:tc>
          <w:tcPr>
            <w:tcW w:type="dxa" w:w="2232"/>
            <w:shd w:val="clear" w:color="auto" w:fill="F2F2EF"/>
          </w:tcPr>
          <w:p>
            <w:pPr>
              <w:spacing w:after="40"/>
            </w:pPr>
            <w:r>
              <w:rPr>
                <w:rFonts w:ascii="Consolas" w:hAnsi="Consolas"/>
                <w:color w:val="8A2B06"/>
                <w:sz w:val="18"/>
              </w:rPr>
              <w:t>concept_id</w:t>
            </w:r>
            <w:r>
              <w:rPr>
                <w:sz w:val="19"/>
              </w:rPr>
              <w:t xml:space="preserve"> — lexical</w:t>
            </w:r>
          </w:p>
        </w:tc>
        <w:tc>
          <w:tcPr>
            <w:tcW w:type="dxa" w:w="2232"/>
            <w:shd w:val="clear" w:color="auto" w:fill="F2F2EF"/>
          </w:tcPr>
          <w:p>
            <w:pPr>
              <w:spacing w:after="40"/>
            </w:pPr>
            <w:r>
              <w:rPr>
                <w:sz w:val="19"/>
              </w:rPr>
              <w:t>92.8%</w:t>
            </w:r>
          </w:p>
        </w:tc>
      </w:tr>
      <w:tr>
        <w:tc>
          <w:tcPr>
            <w:tcW w:type="dxa" w:w="2232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9</w:t>
            </w:r>
          </w:p>
        </w:tc>
        <w:tc>
          <w:tcPr>
            <w:tcW w:type="dxa" w:w="2232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Cell</w:t>
            </w:r>
          </w:p>
        </w:tc>
        <w:tc>
          <w:tcPr>
            <w:tcW w:type="dxa" w:w="2232"/>
            <w:shd w:val="clear" w:color="auto" w:fill="FCFCFB"/>
          </w:tcPr>
          <w:p>
            <w:pPr>
              <w:spacing w:after="40"/>
            </w:pPr>
            <w:r>
              <w:rPr>
                <w:rFonts w:ascii="Consolas" w:hAnsi="Consolas"/>
                <w:color w:val="8A2B06"/>
                <w:sz w:val="18"/>
              </w:rPr>
              <w:t>reporting_period</w:t>
            </w:r>
            <w:r>
              <w:rPr>
                <w:sz w:val="19"/>
              </w:rPr>
              <w:t xml:space="preserve"> (normalized)</w:t>
            </w:r>
          </w:p>
        </w:tc>
        <w:tc>
          <w:tcPr>
            <w:tcW w:type="dxa" w:w="2232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90.3%</w:t>
            </w:r>
          </w:p>
        </w:tc>
      </w:tr>
      <w:tr>
        <w:tc>
          <w:tcPr>
            <w:tcW w:type="dxa" w:w="2232"/>
            <w:shd w:val="clear" w:color="auto" w:fill="F2F2EF"/>
          </w:tcPr>
          <w:p>
            <w:pPr>
              <w:spacing w:after="40"/>
            </w:pPr>
            <w:r>
              <w:rPr>
                <w:sz w:val="19"/>
              </w:rPr>
              <w:t>10</w:t>
            </w:r>
          </w:p>
        </w:tc>
        <w:tc>
          <w:tcPr>
            <w:tcW w:type="dxa" w:w="2232"/>
            <w:shd w:val="clear" w:color="auto" w:fill="F2F2EF"/>
          </w:tcPr>
          <w:p>
            <w:pPr>
              <w:spacing w:after="40"/>
            </w:pPr>
            <w:r>
              <w:rPr>
                <w:sz w:val="19"/>
              </w:rPr>
              <w:t>Cell</w:t>
            </w:r>
          </w:p>
        </w:tc>
        <w:tc>
          <w:tcPr>
            <w:tcW w:type="dxa" w:w="2232"/>
            <w:shd w:val="clear" w:color="auto" w:fill="F2F2EF"/>
          </w:tcPr>
          <w:p>
            <w:pPr>
              <w:spacing w:after="40"/>
            </w:pPr>
            <w:r>
              <w:rPr>
                <w:rFonts w:ascii="Consolas" w:hAnsi="Consolas"/>
                <w:color w:val="8A2B06"/>
                <w:sz w:val="18"/>
              </w:rPr>
              <w:t>concept_meaning</w:t>
            </w:r>
            <w:r>
              <w:rPr>
                <w:sz w:val="19"/>
              </w:rPr>
              <w:t xml:space="preserve"> — embedding match</w:t>
            </w:r>
          </w:p>
        </w:tc>
        <w:tc>
          <w:tcPr>
            <w:tcW w:type="dxa" w:w="2232"/>
            <w:shd w:val="clear" w:color="auto" w:fill="F2F2EF"/>
          </w:tcPr>
          <w:p>
            <w:pPr>
              <w:spacing w:after="40"/>
            </w:pPr>
            <w:r>
              <w:rPr>
                <w:sz w:val="19"/>
              </w:rPr>
              <w:t>88.5%</w:t>
            </w:r>
          </w:p>
        </w:tc>
      </w:tr>
      <w:tr>
        <w:tc>
          <w:tcPr>
            <w:tcW w:type="dxa" w:w="2232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11</w:t>
            </w:r>
          </w:p>
        </w:tc>
        <w:tc>
          <w:tcPr>
            <w:tcW w:type="dxa" w:w="2232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Cell</w:t>
            </w:r>
          </w:p>
        </w:tc>
        <w:tc>
          <w:tcPr>
            <w:tcW w:type="dxa" w:w="2232"/>
            <w:shd w:val="clear" w:color="auto" w:fill="FCFCFB"/>
          </w:tcPr>
          <w:p>
            <w:pPr>
              <w:spacing w:after="40"/>
            </w:pPr>
            <w:r>
              <w:rPr>
                <w:rFonts w:ascii="Consolas" w:hAnsi="Consolas"/>
                <w:color w:val="8A2B06"/>
                <w:sz w:val="18"/>
              </w:rPr>
              <w:t>scale</w:t>
            </w:r>
            <w:r>
              <w:rPr>
                <w:sz w:val="19"/>
              </w:rPr>
              <w:t xml:space="preserve"> accuracy</w:t>
            </w:r>
          </w:p>
        </w:tc>
        <w:tc>
          <w:tcPr>
            <w:tcW w:type="dxa" w:w="2232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87.4%</w:t>
            </w:r>
          </w:p>
        </w:tc>
      </w:tr>
      <w:tr>
        <w:tc>
          <w:tcPr>
            <w:tcW w:type="dxa" w:w="2232"/>
            <w:shd w:val="clear" w:color="auto" w:fill="F2F2EF"/>
          </w:tcPr>
          <w:p>
            <w:pPr>
              <w:spacing w:after="40"/>
            </w:pPr>
            <w:r>
              <w:rPr>
                <w:sz w:val="19"/>
              </w:rPr>
              <w:t>12</w:t>
            </w:r>
          </w:p>
        </w:tc>
        <w:tc>
          <w:tcPr>
            <w:tcW w:type="dxa" w:w="2232"/>
            <w:shd w:val="clear" w:color="auto" w:fill="F2F2EF"/>
          </w:tcPr>
          <w:p>
            <w:pPr>
              <w:spacing w:after="40"/>
            </w:pPr>
            <w:r>
              <w:rPr>
                <w:sz w:val="19"/>
              </w:rPr>
              <w:t>Row</w:t>
            </w:r>
          </w:p>
        </w:tc>
        <w:tc>
          <w:tcPr>
            <w:tcW w:type="dxa" w:w="2232"/>
            <w:shd w:val="clear" w:color="auto" w:fill="F2F2EF"/>
          </w:tcPr>
          <w:p>
            <w:pPr>
              <w:spacing w:after="40"/>
            </w:pPr>
            <w:r>
              <w:rPr>
                <w:rFonts w:ascii="Consolas" w:hAnsi="Consolas"/>
                <w:color w:val="8A2B06"/>
                <w:sz w:val="18"/>
              </w:rPr>
              <w:t>is_signed_negative</w:t>
            </w:r>
            <w:r>
              <w:rPr>
                <w:sz w:val="19"/>
              </w:rPr>
              <w:t xml:space="preserve"> accuracy</w:t>
            </w:r>
          </w:p>
        </w:tc>
        <w:tc>
          <w:tcPr>
            <w:tcW w:type="dxa" w:w="2232"/>
            <w:shd w:val="clear" w:color="auto" w:fill="F2F2EF"/>
          </w:tcPr>
          <w:p>
            <w:pPr>
              <w:spacing w:after="40"/>
            </w:pPr>
            <w:r>
              <w:rPr>
                <w:sz w:val="19"/>
              </w:rPr>
              <w:t>86.5%</w:t>
            </w:r>
          </w:p>
        </w:tc>
      </w:tr>
      <w:tr>
        <w:tc>
          <w:tcPr>
            <w:tcW w:type="dxa" w:w="2232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13</w:t>
            </w:r>
          </w:p>
        </w:tc>
        <w:tc>
          <w:tcPr>
            <w:tcW w:type="dxa" w:w="2232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Cell</w:t>
            </w:r>
          </w:p>
        </w:tc>
        <w:tc>
          <w:tcPr>
            <w:tcW w:type="dxa" w:w="2232"/>
            <w:shd w:val="clear" w:color="auto" w:fill="FCFCFB"/>
          </w:tcPr>
          <w:p>
            <w:pPr>
              <w:spacing w:after="40"/>
            </w:pPr>
            <w:r>
              <w:rPr>
                <w:rFonts w:ascii="Consolas" w:hAnsi="Consolas"/>
                <w:color w:val="8A2B06"/>
                <w:sz w:val="18"/>
              </w:rPr>
              <w:t>concept_id</w:t>
            </w:r>
            <w:r>
              <w:rPr>
                <w:sz w:val="19"/>
              </w:rPr>
              <w:t xml:space="preserve"> — embedding</w:t>
            </w:r>
          </w:p>
        </w:tc>
        <w:tc>
          <w:tcPr>
            <w:tcW w:type="dxa" w:w="2232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84.2%</w:t>
            </w:r>
          </w:p>
        </w:tc>
      </w:tr>
      <w:tr>
        <w:tc>
          <w:tcPr>
            <w:tcW w:type="dxa" w:w="2232"/>
            <w:shd w:val="clear" w:color="auto" w:fill="F2F2EF"/>
          </w:tcPr>
          <w:p>
            <w:pPr>
              <w:spacing w:after="40"/>
            </w:pPr>
            <w:r>
              <w:rPr>
                <w:sz w:val="19"/>
              </w:rPr>
              <w:t>14</w:t>
            </w:r>
          </w:p>
        </w:tc>
        <w:tc>
          <w:tcPr>
            <w:tcW w:type="dxa" w:w="2232"/>
            <w:shd w:val="clear" w:color="auto" w:fill="F2F2EF"/>
          </w:tcPr>
          <w:p>
            <w:pPr>
              <w:spacing w:after="40"/>
            </w:pPr>
            <w:r>
              <w:rPr>
                <w:sz w:val="19"/>
              </w:rPr>
              <w:t>Cell</w:t>
            </w:r>
          </w:p>
        </w:tc>
        <w:tc>
          <w:tcPr>
            <w:tcW w:type="dxa" w:w="2232"/>
            <w:shd w:val="clear" w:color="auto" w:fill="F2F2EF"/>
          </w:tcPr>
          <w:p>
            <w:pPr>
              <w:spacing w:after="40"/>
            </w:pPr>
            <w:r>
              <w:rPr>
                <w:rFonts w:ascii="Consolas" w:hAnsi="Consolas"/>
                <w:color w:val="8A2B06"/>
                <w:sz w:val="18"/>
              </w:rPr>
              <w:t>reporting_period</w:t>
            </w:r>
            <w:r>
              <w:rPr>
                <w:sz w:val="19"/>
              </w:rPr>
              <w:t xml:space="preserve"> accuracy</w:t>
            </w:r>
          </w:p>
        </w:tc>
        <w:tc>
          <w:tcPr>
            <w:tcW w:type="dxa" w:w="2232"/>
            <w:shd w:val="clear" w:color="auto" w:fill="F2F2EF"/>
          </w:tcPr>
          <w:p>
            <w:pPr>
              <w:spacing w:after="40"/>
            </w:pPr>
            <w:r>
              <w:rPr>
                <w:sz w:val="19"/>
              </w:rPr>
              <w:t>84.0%</w:t>
            </w:r>
          </w:p>
        </w:tc>
      </w:tr>
      <w:tr>
        <w:tc>
          <w:tcPr>
            <w:tcW w:type="dxa" w:w="2232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14</w:t>
            </w:r>
          </w:p>
        </w:tc>
        <w:tc>
          <w:tcPr>
            <w:tcW w:type="dxa" w:w="2232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Cell</w:t>
            </w:r>
          </w:p>
        </w:tc>
        <w:tc>
          <w:tcPr>
            <w:tcW w:type="dxa" w:w="2232"/>
            <w:shd w:val="clear" w:color="auto" w:fill="FCFCFB"/>
          </w:tcPr>
          <w:p>
            <w:pPr>
              <w:spacing w:after="40"/>
            </w:pPr>
            <w:r>
              <w:rPr>
                <w:rFonts w:ascii="Consolas" w:hAnsi="Consolas"/>
                <w:color w:val="8A2B06"/>
                <w:sz w:val="18"/>
              </w:rPr>
              <w:t>concept_meaning</w:t>
            </w:r>
            <w:r>
              <w:rPr>
                <w:sz w:val="19"/>
              </w:rPr>
              <w:t xml:space="preserve"> — embedding similarity</w:t>
            </w:r>
          </w:p>
        </w:tc>
        <w:tc>
          <w:tcPr>
            <w:tcW w:type="dxa" w:w="2232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84.0%</w:t>
            </w:r>
          </w:p>
        </w:tc>
      </w:tr>
      <w:tr>
        <w:tc>
          <w:tcPr>
            <w:tcW w:type="dxa" w:w="2232"/>
            <w:shd w:val="clear" w:color="auto" w:fill="F2F2EF"/>
          </w:tcPr>
          <w:p>
            <w:pPr>
              <w:spacing w:after="40"/>
            </w:pPr>
            <w:r>
              <w:rPr>
                <w:sz w:val="19"/>
              </w:rPr>
              <w:t>16</w:t>
            </w:r>
          </w:p>
        </w:tc>
        <w:tc>
          <w:tcPr>
            <w:tcW w:type="dxa" w:w="2232"/>
            <w:shd w:val="clear" w:color="auto" w:fill="F2F2EF"/>
          </w:tcPr>
          <w:p>
            <w:pPr>
              <w:spacing w:after="40"/>
            </w:pPr>
            <w:r>
              <w:rPr>
                <w:sz w:val="19"/>
              </w:rPr>
              <w:t>Table type</w:t>
            </w:r>
          </w:p>
        </w:tc>
        <w:tc>
          <w:tcPr>
            <w:tcW w:type="dxa" w:w="2232"/>
            <w:shd w:val="clear" w:color="auto" w:fill="F2F2EF"/>
          </w:tcPr>
          <w:p>
            <w:pPr>
              <w:spacing w:after="40"/>
            </w:pPr>
            <w:r>
              <w:rPr>
                <w:sz w:val="19"/>
              </w:rPr>
              <w:t>Embedding match</w:t>
            </w:r>
          </w:p>
        </w:tc>
        <w:tc>
          <w:tcPr>
            <w:tcW w:type="dxa" w:w="2232"/>
            <w:shd w:val="clear" w:color="auto" w:fill="F2F2EF"/>
          </w:tcPr>
          <w:p>
            <w:pPr>
              <w:spacing w:after="40"/>
            </w:pPr>
            <w:r>
              <w:rPr>
                <w:sz w:val="19"/>
              </w:rPr>
              <w:t>77.2%</w:t>
            </w:r>
          </w:p>
        </w:tc>
      </w:tr>
      <w:tr>
        <w:tc>
          <w:tcPr>
            <w:tcW w:type="dxa" w:w="2232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17</w:t>
            </w:r>
          </w:p>
        </w:tc>
        <w:tc>
          <w:tcPr>
            <w:tcW w:type="dxa" w:w="2232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Table type</w:t>
            </w:r>
          </w:p>
        </w:tc>
        <w:tc>
          <w:tcPr>
            <w:tcW w:type="dxa" w:w="2232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Lexical match</w:t>
            </w:r>
          </w:p>
        </w:tc>
        <w:tc>
          <w:tcPr>
            <w:tcW w:type="dxa" w:w="2232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74.5%</w:t>
            </w:r>
          </w:p>
        </w:tc>
      </w:tr>
      <w:tr>
        <w:tc>
          <w:tcPr>
            <w:tcW w:type="dxa" w:w="2232"/>
            <w:shd w:val="clear" w:color="auto" w:fill="F2F2EF"/>
          </w:tcPr>
          <w:p>
            <w:pPr>
              <w:spacing w:after="40"/>
            </w:pPr>
            <w:r>
              <w:rPr>
                <w:sz w:val="19"/>
              </w:rPr>
              <w:t>18</w:t>
            </w:r>
          </w:p>
        </w:tc>
        <w:tc>
          <w:tcPr>
            <w:tcW w:type="dxa" w:w="2232"/>
            <w:shd w:val="clear" w:color="auto" w:fill="F2F2EF"/>
          </w:tcPr>
          <w:p>
            <w:pPr>
              <w:spacing w:after="40"/>
            </w:pPr>
            <w:r>
              <w:rPr>
                <w:sz w:val="19"/>
              </w:rPr>
              <w:t>Cell</w:t>
            </w:r>
          </w:p>
        </w:tc>
        <w:tc>
          <w:tcPr>
            <w:tcW w:type="dxa" w:w="2232"/>
            <w:shd w:val="clear" w:color="auto" w:fill="F2F2EF"/>
          </w:tcPr>
          <w:p>
            <w:pPr>
              <w:spacing w:after="40"/>
            </w:pPr>
            <w:r>
              <w:rPr>
                <w:rFonts w:ascii="Consolas" w:hAnsi="Consolas"/>
                <w:color w:val="8A2B06"/>
                <w:sz w:val="18"/>
              </w:rPr>
              <w:t>concept_meaning</w:t>
            </w:r>
            <w:r>
              <w:rPr>
                <w:sz w:val="19"/>
              </w:rPr>
              <w:t xml:space="preserve"> — lexical similarity</w:t>
            </w:r>
          </w:p>
        </w:tc>
        <w:tc>
          <w:tcPr>
            <w:tcW w:type="dxa" w:w="2232"/>
            <w:shd w:val="clear" w:color="auto" w:fill="F2F2EF"/>
          </w:tcPr>
          <w:p>
            <w:pPr>
              <w:spacing w:after="40"/>
            </w:pPr>
            <w:r>
              <w:rPr>
                <w:sz w:val="19"/>
              </w:rPr>
              <w:t>72.1%</w:t>
            </w:r>
          </w:p>
        </w:tc>
      </w:tr>
      <w:tr>
        <w:tc>
          <w:tcPr>
            <w:tcW w:type="dxa" w:w="2232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19</w:t>
            </w:r>
          </w:p>
        </w:tc>
        <w:tc>
          <w:tcPr>
            <w:tcW w:type="dxa" w:w="2232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Cell</w:t>
            </w:r>
          </w:p>
        </w:tc>
        <w:tc>
          <w:tcPr>
            <w:tcW w:type="dxa" w:w="2232"/>
            <w:shd w:val="clear" w:color="auto" w:fill="FCFCFB"/>
          </w:tcPr>
          <w:p>
            <w:pPr>
              <w:spacing w:after="40"/>
            </w:pPr>
            <w:r>
              <w:rPr>
                <w:rFonts w:ascii="Consolas" w:hAnsi="Consolas"/>
                <w:color w:val="8A2B06"/>
                <w:sz w:val="18"/>
              </w:rPr>
              <w:t>concept_meaning</w:t>
            </w:r>
            <w:r>
              <w:rPr>
                <w:sz w:val="19"/>
              </w:rPr>
              <w:t xml:space="preserve"> — lexical match</w:t>
            </w:r>
          </w:p>
        </w:tc>
        <w:tc>
          <w:tcPr>
            <w:tcW w:type="dxa" w:w="2232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71.9%</w:t>
            </w:r>
          </w:p>
        </w:tc>
      </w:tr>
      <w:tr>
        <w:tc>
          <w:tcPr>
            <w:tcW w:type="dxa" w:w="2232"/>
            <w:shd w:val="clear" w:color="auto" w:fill="F2F2EF"/>
          </w:tcPr>
          <w:p>
            <w:pPr>
              <w:spacing w:after="40"/>
            </w:pPr>
            <w:r>
              <w:rPr>
                <w:sz w:val="19"/>
              </w:rPr>
              <w:t>20</w:t>
            </w:r>
          </w:p>
        </w:tc>
        <w:tc>
          <w:tcPr>
            <w:tcW w:type="dxa" w:w="2232"/>
            <w:shd w:val="clear" w:color="auto" w:fill="F2F2EF"/>
          </w:tcPr>
          <w:p>
            <w:pPr>
              <w:spacing w:after="40"/>
            </w:pPr>
            <w:r>
              <w:rPr>
                <w:sz w:val="19"/>
              </w:rPr>
              <w:t>Cell</w:t>
            </w:r>
          </w:p>
        </w:tc>
        <w:tc>
          <w:tcPr>
            <w:tcW w:type="dxa" w:w="2232"/>
            <w:shd w:val="clear" w:color="auto" w:fill="F2F2EF"/>
          </w:tcPr>
          <w:p>
            <w:pPr>
              <w:spacing w:after="40"/>
            </w:pPr>
            <w:r>
              <w:rPr>
                <w:rFonts w:ascii="Consolas" w:hAnsi="Consolas"/>
                <w:color w:val="8A2B06"/>
                <w:sz w:val="18"/>
              </w:rPr>
              <w:t>scale_multiplier</w:t>
            </w:r>
            <w:r>
              <w:rPr>
                <w:sz w:val="19"/>
              </w:rPr>
              <w:t xml:space="preserve"> accuracy</w:t>
            </w:r>
          </w:p>
        </w:tc>
        <w:tc>
          <w:tcPr>
            <w:tcW w:type="dxa" w:w="2232"/>
            <w:shd w:val="clear" w:color="auto" w:fill="F2F2EF"/>
          </w:tcPr>
          <w:p>
            <w:pPr>
              <w:spacing w:after="40"/>
            </w:pPr>
            <w:r>
              <w:rPr>
                <w:sz w:val="19"/>
              </w:rPr>
              <w:t>71.7%</w:t>
            </w:r>
          </w:p>
        </w:tc>
      </w:tr>
      <w:tr>
        <w:tc>
          <w:tcPr>
            <w:tcW w:type="dxa" w:w="2232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21</w:t>
            </w:r>
          </w:p>
        </w:tc>
        <w:tc>
          <w:tcPr>
            <w:tcW w:type="dxa" w:w="2232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Cell</w:t>
            </w:r>
          </w:p>
        </w:tc>
        <w:tc>
          <w:tcPr>
            <w:tcW w:type="dxa" w:w="2232"/>
            <w:shd w:val="clear" w:color="auto" w:fill="FCFCFB"/>
          </w:tcPr>
          <w:p>
            <w:pPr>
              <w:spacing w:after="40"/>
            </w:pPr>
            <w:r>
              <w:rPr>
                <w:rFonts w:ascii="Consolas" w:hAnsi="Consolas"/>
                <w:color w:val="8A2B06"/>
                <w:sz w:val="18"/>
              </w:rPr>
              <w:t>unit</w:t>
            </w:r>
            <w:r>
              <w:rPr>
                <w:sz w:val="19"/>
              </w:rPr>
              <w:t xml:space="preserve"> accuracy</w:t>
            </w:r>
          </w:p>
        </w:tc>
        <w:tc>
          <w:tcPr>
            <w:tcW w:type="dxa" w:w="2232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71.3%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sz w:val="21"/>
        </w:rPr>
        <w:t>Reading this:</w:t>
      </w:r>
      <w:r>
        <w:rPr>
          <w:sz w:val="21"/>
        </w:rPr>
        <w:t xml:space="preserve"> the same pattern the full mixed corpus showed holds up on documents the model never trained on — structural fields (</w:t>
      </w:r>
      <w:r>
        <w:rPr>
          <w:rFonts w:ascii="Consolas" w:hAnsi="Consolas"/>
          <w:color w:val="8A2B06"/>
          <w:sz w:val="20"/>
        </w:rPr>
        <w:t>contributing_columns</w:t>
      </w:r>
      <w:r>
        <w:rPr>
          <w:sz w:val="21"/>
        </w:rPr>
        <w:t xml:space="preserve">, </w:t>
      </w:r>
      <w:r>
        <w:rPr>
          <w:rFonts w:ascii="Consolas" w:hAnsi="Consolas"/>
          <w:color w:val="8A2B06"/>
          <w:sz w:val="20"/>
        </w:rPr>
        <w:t>direction</w:t>
      </w:r>
      <w:r>
        <w:rPr>
          <w:sz w:val="21"/>
        </w:rPr>
        <w:t xml:space="preserve">, </w:t>
      </w:r>
      <w:r>
        <w:rPr>
          <w:rFonts w:ascii="Consolas" w:hAnsi="Consolas"/>
          <w:color w:val="8A2B06"/>
          <w:sz w:val="20"/>
        </w:rPr>
        <w:t>column_type</w:t>
      </w:r>
      <w:r>
        <w:rPr>
          <w:sz w:val="21"/>
        </w:rPr>
        <w:t xml:space="preserve">, </w:t>
      </w:r>
      <w:r>
        <w:rPr>
          <w:rFonts w:ascii="Consolas" w:hAnsi="Consolas"/>
          <w:color w:val="8A2B06"/>
          <w:sz w:val="20"/>
        </w:rPr>
        <w:t>row_type</w:t>
      </w:r>
      <w:r>
        <w:rPr>
          <w:sz w:val="21"/>
        </w:rPr>
        <w:t xml:space="preserve">) all sit at 94.6–99.7%, while the two soft spots remain </w:t>
      </w:r>
      <w:r>
        <w:rPr>
          <w:b/>
          <w:sz w:val="21"/>
        </w:rPr>
        <w:t>`table_type` classification</w:t>
      </w:r>
      <w:r>
        <w:rPr>
          <w:sz w:val="21"/>
        </w:rPr>
        <w:t xml:space="preserve"> (74–77%) and </w:t>
      </w:r>
      <w:r>
        <w:rPr>
          <w:b/>
          <w:sz w:val="21"/>
        </w:rPr>
        <w:t>free-text semantic fields</w:t>
      </w:r>
      <w:r>
        <w:rPr>
          <w:sz w:val="21"/>
        </w:rPr>
        <w:t xml:space="preserve"> (</w:t>
      </w:r>
      <w:r>
        <w:rPr>
          <w:rFonts w:ascii="Consolas" w:hAnsi="Consolas"/>
          <w:color w:val="8A2B06"/>
          <w:sz w:val="20"/>
        </w:rPr>
        <w:t>concept_meaning</w:t>
      </w:r>
      <w:r>
        <w:rPr>
          <w:sz w:val="21"/>
        </w:rPr>
        <w:t xml:space="preserve">, </w:t>
      </w:r>
      <w:r>
        <w:rPr>
          <w:rFonts w:ascii="Consolas" w:hAnsi="Consolas"/>
          <w:color w:val="8A2B06"/>
          <w:sz w:val="20"/>
        </w:rPr>
        <w:t>unit</w:t>
      </w:r>
      <w:r>
        <w:rPr>
          <w:sz w:val="21"/>
        </w:rPr>
        <w:t xml:space="preserve">, </w:t>
      </w:r>
      <w:r>
        <w:rPr>
          <w:rFonts w:ascii="Consolas" w:hAnsi="Consolas"/>
          <w:color w:val="8A2B06"/>
          <w:sz w:val="20"/>
        </w:rPr>
        <w:t>scale_multiplier</w:t>
      </w:r>
      <w:r>
        <w:rPr>
          <w:sz w:val="21"/>
        </w:rPr>
        <w:t xml:space="preserve"> — 71–72%). Nothing here suggests the model's strengths on the mixed corpus were inflated by memorized documents.</w:t>
      </w:r>
    </w:p>
    <w:p>
      <w:pPr>
        <w:pStyle w:val="Heading2"/>
        <w:spacing w:before="280" w:after="160"/>
      </w:pPr>
      <w:r>
        <w:rPr>
          <w:b/>
          <w:color w:val="0B0B0B"/>
          <w:sz w:val="30"/>
        </w:rPr>
        <w:t>4. Structural accuracy distribution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760720" cy="21995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al_unseen_structural_accuracy_hi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995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sz w:val="21"/>
        </w:rPr>
        <w:t xml:space="preserve">Both </w:t>
      </w:r>
      <w:r>
        <w:rPr>
          <w:rFonts w:ascii="Consolas" w:hAnsi="Consolas"/>
          <w:color w:val="8A2B06"/>
          <w:sz w:val="20"/>
        </w:rPr>
        <w:t>row_type</w:t>
      </w:r>
      <w:r>
        <w:rPr>
          <w:sz w:val="21"/>
        </w:rPr>
        <w:t xml:space="preserve"> and </w:t>
      </w:r>
      <w:r>
        <w:rPr>
          <w:rFonts w:ascii="Consolas" w:hAnsi="Consolas"/>
          <w:color w:val="8A2B06"/>
          <w:sz w:val="20"/>
        </w:rPr>
        <w:t>column_type</w:t>
      </w:r>
      <w:r>
        <w:rPr>
          <w:sz w:val="21"/>
        </w:rPr>
        <w:t xml:space="preserve"> accuracy are heavily concentrated at 1.0, same as the full corpus — most unseen tables are labeled perfectly or nearly perfectly at the structural level.</w:t>
      </w:r>
    </w:p>
    <w:p>
      <w:pPr>
        <w:pStyle w:val="Heading2"/>
        <w:spacing w:before="280" w:after="160"/>
      </w:pPr>
      <w:r>
        <w:rPr>
          <w:b/>
          <w:color w:val="0B0B0B"/>
          <w:sz w:val="30"/>
        </w:rPr>
        <w:t>5. Cell-level concept tagging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760720" cy="21995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al_unseen_concept_id_hi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995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Consolas" w:hAnsi="Consolas"/>
          <w:color w:val="8A2B06"/>
          <w:sz w:val="20"/>
        </w:rPr>
        <w:t>concept_id</w:t>
      </w:r>
      <w:r>
        <w:rPr>
          <w:sz w:val="21"/>
        </w:rPr>
        <w:t xml:space="preserve"> (n=178 tables with at least one concept-bearing cell) shows most tables scoring at or near 1.0, with a left tail on the embedding metric similar in shape to the full-corpus distribution.</w:t>
      </w:r>
    </w:p>
    <w:p>
      <w:pPr>
        <w:pStyle w:val="Heading2"/>
        <w:spacing w:before="280" w:after="160"/>
      </w:pPr>
      <w:r>
        <w:rPr>
          <w:b/>
          <w:color w:val="0B0B0B"/>
          <w:sz w:val="30"/>
        </w:rPr>
        <w:t>6. Does restricting to purely unseen documents change the picture?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760720" cy="307238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al_unseen_vs_mixed_benchmar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7238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8D2"/>
          <w:left w:val="single" w:sz="4" w:space="0" w:color="D9D8D2"/>
          <w:bottom w:val="single" w:sz="4" w:space="0" w:color="D9D8D2"/>
          <w:right w:val="single" w:sz="4" w:space="0" w:color="D9D8D2"/>
          <w:insideH w:val="single" w:sz="4" w:space="0" w:color="D9D8D2"/>
          <w:insideV w:val="single" w:sz="4" w:space="0" w:color="D9D8D2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2232"/>
            <w:shd w:val="clear" w:color="auto" w:fill="2A78D6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Metric</w:t>
            </w:r>
          </w:p>
        </w:tc>
        <w:tc>
          <w:tcPr>
            <w:tcW w:type="dxa" w:w="2232"/>
            <w:shd w:val="clear" w:color="auto" w:fill="2A78D6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Earlier mixed report (60 jobs / 543 tables)</w:t>
            </w:r>
          </w:p>
        </w:tc>
        <w:tc>
          <w:tcPr>
            <w:tcW w:type="dxa" w:w="2232"/>
            <w:shd w:val="clear" w:color="auto" w:fill="2A78D6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This report — unseen only (26 jobs / 184 tables)</w:t>
            </w:r>
          </w:p>
        </w:tc>
        <w:tc>
          <w:tcPr>
            <w:tcW w:type="dxa" w:w="2232"/>
            <w:shd w:val="clear" w:color="auto" w:fill="2A78D6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Gap</w:t>
            </w:r>
          </w:p>
        </w:tc>
      </w:tr>
      <w:tr>
        <w:tc>
          <w:tcPr>
            <w:tcW w:type="dxa" w:w="2232"/>
            <w:shd w:val="clear" w:color="auto" w:fill="FCFCFB"/>
          </w:tcPr>
          <w:p>
            <w:pPr>
              <w:spacing w:after="40"/>
            </w:pPr>
            <w:r>
              <w:rPr>
                <w:rFonts w:ascii="Consolas" w:hAnsi="Consolas"/>
                <w:color w:val="8A2B06"/>
                <w:sz w:val="18"/>
              </w:rPr>
              <w:t>table_type</w:t>
            </w:r>
            <w:r>
              <w:rPr>
                <w:sz w:val="19"/>
              </w:rPr>
              <w:t xml:space="preserve"> lexical match</w:t>
            </w:r>
          </w:p>
        </w:tc>
        <w:tc>
          <w:tcPr>
            <w:tcW w:type="dxa" w:w="2232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77.3%</w:t>
            </w:r>
          </w:p>
        </w:tc>
        <w:tc>
          <w:tcPr>
            <w:tcW w:type="dxa" w:w="2232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74.5%</w:t>
            </w:r>
          </w:p>
        </w:tc>
        <w:tc>
          <w:tcPr>
            <w:tcW w:type="dxa" w:w="2232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−2.9 pp</w:t>
            </w:r>
          </w:p>
        </w:tc>
      </w:tr>
      <w:tr>
        <w:tc>
          <w:tcPr>
            <w:tcW w:type="dxa" w:w="2232"/>
            <w:shd w:val="clear" w:color="auto" w:fill="F2F2EF"/>
          </w:tcPr>
          <w:p>
            <w:pPr>
              <w:spacing w:after="40"/>
            </w:pPr>
            <w:r>
              <w:rPr>
                <w:rFonts w:ascii="Consolas" w:hAnsi="Consolas"/>
                <w:color w:val="8A2B06"/>
                <w:sz w:val="18"/>
              </w:rPr>
              <w:t>row_type</w:t>
            </w:r>
            <w:r>
              <w:rPr>
                <w:sz w:val="19"/>
              </w:rPr>
              <w:t xml:space="preserve"> accuracy</w:t>
            </w:r>
          </w:p>
        </w:tc>
        <w:tc>
          <w:tcPr>
            <w:tcW w:type="dxa" w:w="2232"/>
            <w:shd w:val="clear" w:color="auto" w:fill="F2F2EF"/>
          </w:tcPr>
          <w:p>
            <w:pPr>
              <w:spacing w:after="40"/>
            </w:pPr>
            <w:r>
              <w:rPr>
                <w:sz w:val="19"/>
              </w:rPr>
              <w:t>94.7%</w:t>
            </w:r>
          </w:p>
        </w:tc>
        <w:tc>
          <w:tcPr>
            <w:tcW w:type="dxa" w:w="2232"/>
            <w:shd w:val="clear" w:color="auto" w:fill="F2F2EF"/>
          </w:tcPr>
          <w:p>
            <w:pPr>
              <w:spacing w:after="40"/>
            </w:pPr>
            <w:r>
              <w:rPr>
                <w:sz w:val="19"/>
              </w:rPr>
              <w:t>94.6%</w:t>
            </w:r>
          </w:p>
        </w:tc>
        <w:tc>
          <w:tcPr>
            <w:tcW w:type="dxa" w:w="2232"/>
            <w:shd w:val="clear" w:color="auto" w:fill="F2F2EF"/>
          </w:tcPr>
          <w:p>
            <w:pPr>
              <w:spacing w:after="40"/>
            </w:pPr>
            <w:r>
              <w:rPr>
                <w:sz w:val="19"/>
              </w:rPr>
              <w:t>−0.1 pp</w:t>
            </w:r>
          </w:p>
        </w:tc>
      </w:tr>
      <w:tr>
        <w:tc>
          <w:tcPr>
            <w:tcW w:type="dxa" w:w="2232"/>
            <w:shd w:val="clear" w:color="auto" w:fill="FCFCFB"/>
          </w:tcPr>
          <w:p>
            <w:pPr>
              <w:spacing w:after="40"/>
            </w:pPr>
            <w:r>
              <w:rPr>
                <w:rFonts w:ascii="Consolas" w:hAnsi="Consolas"/>
                <w:color w:val="8A2B06"/>
                <w:sz w:val="18"/>
              </w:rPr>
              <w:t>column_type</w:t>
            </w:r>
            <w:r>
              <w:rPr>
                <w:sz w:val="19"/>
              </w:rPr>
              <w:t xml:space="preserve"> accuracy</w:t>
            </w:r>
          </w:p>
        </w:tc>
        <w:tc>
          <w:tcPr>
            <w:tcW w:type="dxa" w:w="2232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98.1%</w:t>
            </w:r>
          </w:p>
        </w:tc>
        <w:tc>
          <w:tcPr>
            <w:tcW w:type="dxa" w:w="2232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98.3%</w:t>
            </w:r>
          </w:p>
        </w:tc>
        <w:tc>
          <w:tcPr>
            <w:tcW w:type="dxa" w:w="2232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+0.1 pp</w:t>
            </w:r>
          </w:p>
        </w:tc>
      </w:tr>
      <w:tr>
        <w:tc>
          <w:tcPr>
            <w:tcW w:type="dxa" w:w="2232"/>
            <w:shd w:val="clear" w:color="auto" w:fill="F2F2EF"/>
          </w:tcPr>
          <w:p>
            <w:pPr>
              <w:spacing w:after="40"/>
            </w:pPr>
            <w:r>
              <w:rPr>
                <w:rFonts w:ascii="Consolas" w:hAnsi="Consolas"/>
                <w:color w:val="8A2B06"/>
                <w:sz w:val="18"/>
              </w:rPr>
              <w:t>concept_id</w:t>
            </w:r>
            <w:r>
              <w:rPr>
                <w:sz w:val="19"/>
              </w:rPr>
              <w:t xml:space="preserve"> lexical accuracy</w:t>
            </w:r>
          </w:p>
        </w:tc>
        <w:tc>
          <w:tcPr>
            <w:tcW w:type="dxa" w:w="2232"/>
            <w:shd w:val="clear" w:color="auto" w:fill="F2F2EF"/>
          </w:tcPr>
          <w:p>
            <w:pPr>
              <w:spacing w:after="40"/>
            </w:pPr>
            <w:r>
              <w:rPr>
                <w:sz w:val="19"/>
              </w:rPr>
              <w:t>84.9%</w:t>
            </w:r>
          </w:p>
        </w:tc>
        <w:tc>
          <w:tcPr>
            <w:tcW w:type="dxa" w:w="2232"/>
            <w:shd w:val="clear" w:color="auto" w:fill="F2F2EF"/>
          </w:tcPr>
          <w:p>
            <w:pPr>
              <w:spacing w:after="40"/>
            </w:pPr>
            <w:r>
              <w:rPr>
                <w:sz w:val="19"/>
              </w:rPr>
              <w:t>92.8%</w:t>
            </w:r>
          </w:p>
        </w:tc>
        <w:tc>
          <w:tcPr>
            <w:tcW w:type="dxa" w:w="2232"/>
            <w:shd w:val="clear" w:color="auto" w:fill="F2F2EF"/>
          </w:tcPr>
          <w:p>
            <w:pPr>
              <w:spacing w:after="40"/>
            </w:pPr>
            <w:r>
              <w:rPr>
                <w:b/>
                <w:sz w:val="19"/>
              </w:rPr>
              <w:t>+7.9 pp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sz w:val="21"/>
        </w:rPr>
        <w:t>Structural typing shows essentially no gap</w:t>
      </w:r>
      <w:r>
        <w:rPr>
          <w:sz w:val="21"/>
        </w:rPr>
        <w:t xml:space="preserve"> — row_type and column_type land within ±0.1 point of the blended in-sample+held-out corpus, reinforcing that the model learned the general structural task rather than memorizing specific documents. </w:t>
      </w:r>
      <w:r>
        <w:rPr>
          <w:rFonts w:ascii="Consolas" w:hAnsi="Consolas"/>
          <w:color w:val="8A2B06"/>
          <w:sz w:val="20"/>
        </w:rPr>
        <w:t>table_type</w:t>
      </w:r>
      <w:r>
        <w:rPr>
          <w:sz w:val="21"/>
        </w:rPr>
        <w:t xml:space="preserve"> is modestly lower on unseen-only data (−2.9pp), consistent with some memorization advantage on that open-vocabulary field. </w:t>
      </w:r>
      <w:r>
        <w:rPr>
          <w:rFonts w:ascii="Consolas" w:hAnsi="Consolas"/>
          <w:color w:val="8A2B06"/>
          <w:sz w:val="20"/>
        </w:rPr>
        <w:t>concept_id</w:t>
      </w:r>
      <w:r>
        <w:rPr>
          <w:sz w:val="21"/>
        </w:rPr>
        <w:t xml:space="preserve"> lexical accuracy is *higher* here — as flagged in the 2026-07-24 report's held-out check, this is almost certainly a sampling artifact (this 184-table subset happens to contain a different mix of concept-bearing cells than the full 543-table corpus), not evidence the model does better on unseen data; it should not be read as a real advantage.</w:t>
      </w:r>
    </w:p>
    <w:p>
      <w:pPr>
        <w:pStyle w:val="Heading2"/>
        <w:spacing w:before="280" w:after="160"/>
      </w:pPr>
      <w:r>
        <w:rPr>
          <w:b/>
          <w:color w:val="0B0B0B"/>
          <w:sz w:val="30"/>
        </w:rPr>
        <w:t>7. Where the model performs well — and where it struggles</w:t>
      </w:r>
    </w:p>
    <w:p>
      <w:pPr>
        <w:pStyle w:val="Heading3"/>
        <w:spacing w:before="280" w:after="160"/>
      </w:pPr>
      <w:r>
        <w:rPr>
          <w:b/>
          <w:color w:val="2A78D6"/>
          <w:sz w:val="25"/>
        </w:rPr>
        <w:t>7.1 Best-scoring unseen documents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760720" cy="375962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al_unseen_best_documen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596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sz w:val="21"/>
        </w:rPr>
        <w:t xml:space="preserve">Documents with ≥3 tables compared, to rule out lucky small samples: the top scorer (Old Mutual Trust Proprietary Limited) reaches 99.1% mean </w:t>
      </w:r>
      <w:r>
        <w:rPr>
          <w:rFonts w:ascii="Consolas" w:hAnsi="Consolas"/>
          <w:color w:val="8A2B06"/>
          <w:sz w:val="20"/>
        </w:rPr>
        <w:t>row_type</w:t>
      </w:r>
      <w:r>
        <w:rPr>
          <w:sz w:val="21"/>
        </w:rPr>
        <w:t xml:space="preserve"> accuracy, and several others clear 95%.</w:t>
      </w:r>
    </w:p>
    <w:p>
      <w:pPr>
        <w:pStyle w:val="Heading3"/>
        <w:spacing w:before="280" w:after="160"/>
      </w:pPr>
      <w:r>
        <w:rPr>
          <w:b/>
          <w:color w:val="2A78D6"/>
          <w:sz w:val="25"/>
        </w:rPr>
        <w:t>7.2 Largest unseen tables handled with a perfect clean sweep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760720" cy="375962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al_unseen_best_tabl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596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sz w:val="21"/>
        </w:rPr>
        <w:t>The top performer (</w:t>
      </w:r>
      <w:r>
        <w:rPr>
          <w:rFonts w:ascii="Consolas" w:hAnsi="Consolas"/>
          <w:color w:val="8A2B06"/>
          <w:sz w:val="20"/>
        </w:rPr>
        <w:t>Nedinvest</w:t>
      </w:r>
      <w:r>
        <w:rPr>
          <w:sz w:val="21"/>
        </w:rPr>
        <w:t xml:space="preserve">, tbl-2, 16 rows / 32 compared cells) scores 100% on </w:t>
      </w:r>
      <w:r>
        <w:rPr>
          <w:rFonts w:ascii="Consolas" w:hAnsi="Consolas"/>
          <w:color w:val="8A2B06"/>
          <w:sz w:val="20"/>
        </w:rPr>
        <w:t>row_type</w:t>
      </w:r>
      <w:r>
        <w:rPr>
          <w:sz w:val="21"/>
        </w:rPr>
        <w:t xml:space="preserve">, </w:t>
      </w:r>
      <w:r>
        <w:rPr>
          <w:rFonts w:ascii="Consolas" w:hAnsi="Consolas"/>
          <w:color w:val="8A2B06"/>
          <w:sz w:val="20"/>
        </w:rPr>
        <w:t>column_type</w:t>
      </w:r>
      <w:r>
        <w:rPr>
          <w:sz w:val="21"/>
        </w:rPr>
        <w:t xml:space="preserve">, *and* </w:t>
      </w:r>
      <w:r>
        <w:rPr>
          <w:rFonts w:ascii="Consolas" w:hAnsi="Consolas"/>
          <w:color w:val="8A2B06"/>
          <w:sz w:val="20"/>
        </w:rPr>
        <w:t>concept_id</w:t>
      </w:r>
      <w:r>
        <w:rPr>
          <w:sz w:val="21"/>
        </w:rPr>
        <w:t xml:space="preserve"> simultaneously — the same evidence as the full-corpus report that the model isn't just pattern-matching small tables, even restricted to documents it never trained on.</w:t>
      </w:r>
    </w:p>
    <w:p>
      <w:pPr>
        <w:pStyle w:val="Heading3"/>
        <w:spacing w:before="280" w:after="160"/>
      </w:pPr>
      <w:r>
        <w:rPr>
          <w:b/>
          <w:color w:val="2A78D6"/>
          <w:sz w:val="25"/>
        </w:rPr>
        <w:t>7.3 Does table complexity actually hurt accuracy on unseen documents?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760720" cy="316839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al_unseen_complexity_vs_accurac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683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sz w:val="21"/>
        </w:rPr>
        <w:t xml:space="preserve">Splitting the 184 unseen tables into size quartiles by row count: accuracy moves from 95.6% (Q1, smallest) → 96.4% (Q2) → 92.0% (Q3) → 94.5% (Q4, largest) — a mild, non-monotonic wobble of a few points rather than the steadier decline seen on the full mixed corpus. With only 46 tables per quartile here, this is too small a sample to call a real complexity effect one way or the other; it does </w:t>
      </w:r>
      <w:r>
        <w:rPr>
          <w:b/>
          <w:sz w:val="21"/>
        </w:rPr>
        <w:t>not</w:t>
      </w:r>
      <w:r>
        <w:rPr>
          <w:sz w:val="21"/>
        </w:rPr>
        <w:t xml:space="preserve"> show the largest unseen tables being the worst-handled ones.</w:t>
      </w:r>
    </w:p>
    <w:p>
      <w:pPr>
        <w:pStyle w:val="Heading3"/>
        <w:spacing w:before="280" w:after="160"/>
      </w:pPr>
      <w:r>
        <w:rPr>
          <w:b/>
          <w:color w:val="2A78D6"/>
          <w:sz w:val="25"/>
        </w:rPr>
        <w:t>7.4 Lowest-scoring unseen documents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760720" cy="375962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al_unseen_worst_document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596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before="280" w:after="160"/>
      </w:pPr>
      <w:r>
        <w:rPr>
          <w:b/>
          <w:color w:val="2A78D6"/>
          <w:sz w:val="25"/>
        </w:rPr>
        <w:t>7.5 Lowest-scoring individual unseen tables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760720" cy="375962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al_unseen_worst_tabl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596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sz w:val="21"/>
        </w:rPr>
        <w:t>The same pattern as the full-corpus report shows up here: most of the weakest documents (Nedinvest, Millews Fashions, MHF Properties) have only 4–5 compared tables, so one or two mis-typed rows swing the document average by 15–40 points — these are noisy small-sample signals, not necessarily systematically hard documents. With only 24 unique documents in this set, the "worst" and "best" document lists in §7.1/7.4 overlap almost entirely (the full ranking, not two disjoint groups) — read both as one continuum, not two separate populations.</w:t>
      </w:r>
    </w:p>
    <w:p>
      <w:pPr>
        <w:pStyle w:val="Heading2"/>
        <w:spacing w:before="280" w:after="160"/>
      </w:pPr>
      <w:r>
        <w:rPr>
          <w:b/>
          <w:color w:val="0B0B0B"/>
          <w:sz w:val="30"/>
        </w:rPr>
        <w:t>8. Inference performance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8D2"/>
          <w:left w:val="single" w:sz="4" w:space="0" w:color="D9D8D2"/>
          <w:bottom w:val="single" w:sz="4" w:space="0" w:color="D9D8D2"/>
          <w:right w:val="single" w:sz="4" w:space="0" w:color="D9D8D2"/>
          <w:insideH w:val="single" w:sz="4" w:space="0" w:color="D9D8D2"/>
          <w:insideV w:val="single" w:sz="4" w:space="0" w:color="D9D8D2"/>
        </w:tblBorders>
      </w:tblPr>
      <w:tblGrid>
        <w:gridCol w:w="4824"/>
        <w:gridCol w:w="4824"/>
      </w:tblGrid>
      <w:tr>
        <w:tc>
          <w:tcPr>
            <w:tcW w:type="dxa" w:w="4464"/>
            <w:shd w:val="clear" w:color="auto" w:fill="2A78D6"/>
          </w:tcPr>
          <w:p>
            <w:pPr>
              <w:spacing w:after="40"/>
            </w:pPr>
          </w:p>
        </w:tc>
        <w:tc>
          <w:tcPr>
            <w:tcW w:type="dxa" w:w="4464"/>
            <w:shd w:val="clear" w:color="auto" w:fill="2A78D6"/>
          </w:tcPr>
          <w:p>
            <w:pPr>
              <w:spacing w:after="40"/>
            </w:pPr>
          </w:p>
        </w:tc>
      </w:tr>
      <w:tr>
        <w:tc>
          <w:tcPr>
            <w:tcW w:type="dxa" w:w="4464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Jobs with successful inference + comparison</w:t>
            </w:r>
          </w:p>
        </w:tc>
        <w:tc>
          <w:tcPr>
            <w:tcW w:type="dxa" w:w="4464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26</w:t>
            </w:r>
          </w:p>
        </w:tc>
      </w:tr>
      <w:tr>
        <w:tc>
          <w:tcPr>
            <w:tcW w:type="dxa" w:w="4464"/>
            <w:shd w:val="clear" w:color="auto" w:fill="F2F2EF"/>
          </w:tcPr>
          <w:p>
            <w:pPr>
              <w:spacing w:after="40"/>
            </w:pPr>
            <w:r>
              <w:rPr>
                <w:sz w:val="19"/>
              </w:rPr>
              <w:t>Total inference wall-clock time</w:t>
            </w:r>
          </w:p>
        </w:tc>
        <w:tc>
          <w:tcPr>
            <w:tcW w:type="dxa" w:w="4464"/>
            <w:shd w:val="clear" w:color="auto" w:fill="F2F2EF"/>
          </w:tcPr>
          <w:p>
            <w:pPr>
              <w:spacing w:after="40"/>
            </w:pPr>
            <w:r>
              <w:rPr>
                <w:sz w:val="19"/>
              </w:rPr>
              <w:t>4,886 s ≈ 1.36 hours</w:t>
            </w:r>
          </w:p>
        </w:tc>
      </w:tr>
      <w:tr>
        <w:tc>
          <w:tcPr>
            <w:tcW w:type="dxa" w:w="4464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Mean / median time per job</w:t>
            </w:r>
          </w:p>
        </w:tc>
        <w:tc>
          <w:tcPr>
            <w:tcW w:type="dxa" w:w="4464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188 s / 162 s</w:t>
            </w:r>
          </w:p>
        </w:tc>
      </w:tr>
      <w:tr>
        <w:tc>
          <w:tcPr>
            <w:tcW w:type="dxa" w:w="4464"/>
            <w:shd w:val="clear" w:color="auto" w:fill="F2F2EF"/>
          </w:tcPr>
          <w:p>
            <w:pPr>
              <w:spacing w:after="40"/>
            </w:pPr>
            <w:r>
              <w:rPr>
                <w:sz w:val="19"/>
              </w:rPr>
              <w:t>Tables attempted (manifest)</w:t>
            </w:r>
          </w:p>
        </w:tc>
        <w:tc>
          <w:tcPr>
            <w:tcW w:type="dxa" w:w="4464"/>
            <w:shd w:val="clear" w:color="auto" w:fill="F2F2EF"/>
          </w:tcPr>
          <w:p>
            <w:pPr>
              <w:spacing w:after="40"/>
            </w:pPr>
            <w:r>
              <w:rPr>
                <w:sz w:val="19"/>
              </w:rPr>
              <w:t>186</w:t>
            </w:r>
          </w:p>
        </w:tc>
      </w:tr>
      <w:tr>
        <w:tc>
          <w:tcPr>
            <w:tcW w:type="dxa" w:w="4464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Inference errors</w:t>
            </w:r>
          </w:p>
        </w:tc>
        <w:tc>
          <w:tcPr>
            <w:tcW w:type="dxa" w:w="4464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2 (1.1% error rate)</w:t>
            </w:r>
          </w:p>
        </w:tc>
      </w:tr>
    </w:tbl>
    <w:p>
      <w:pPr>
        <w:spacing w:after="80"/>
      </w:pP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760720" cy="259232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al_unseen_latenc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923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sz w:val="21"/>
        </w:rPr>
        <w:t>Median latency of 26.4 seconds per table (mean 26.8s), in line with the 2026-07-24 report's full-corpus figures (median 27.2s, mean 31.3s) — this subset's latency is not meaningfully different from the blended corpus, so the cost-per-table and capacity figures in that report's §9 apply unchanged here; they are not repeated in this report.</w:t>
      </w:r>
    </w:p>
    <w:p>
      <w:pPr>
        <w:pStyle w:val="Heading2"/>
        <w:spacing w:before="280" w:after="160"/>
      </w:pPr>
      <w:r>
        <w:rPr>
          <w:b/>
          <w:color w:val="0B0B0B"/>
          <w:sz w:val="30"/>
        </w:rPr>
        <w:t>9. Notes and caveats</w:t>
      </w:r>
    </w:p>
    <w:p>
      <w:pPr>
        <w:pStyle w:val="ListBullet"/>
        <w:spacing w:after="80"/>
      </w:pPr>
      <w:r>
        <w:rPr>
          <w:b/>
          <w:sz w:val="21"/>
        </w:rPr>
        <w:t>This is the same 26-job held-out subset from the 2026-07-24 report, not newly collected data.</w:t>
      </w:r>
      <w:r>
        <w:rPr>
          <w:sz w:val="21"/>
        </w:rPr>
        <w:t xml:space="preserve"> It was re-compared on 2026-07-27; the resulting numbers match the earlier held-out bucket to within rounding (e.g. </w:t>
      </w:r>
      <w:r>
        <w:rPr>
          <w:rFonts w:ascii="Consolas" w:hAnsi="Consolas"/>
          <w:color w:val="8A2B06"/>
          <w:sz w:val="20"/>
        </w:rPr>
        <w:t>row_type_accuracy</w:t>
      </w:r>
      <w:r>
        <w:rPr>
          <w:sz w:val="21"/>
        </w:rPr>
        <w:t xml:space="preserve"> 94.59% then vs. 94.59% now), confirming the comparison pipeline is stable and this report's numbers are consistent with the earlier finding.</w:t>
      </w:r>
    </w:p>
    <w:p>
      <w:pPr>
        <w:pStyle w:val="ListBullet"/>
        <w:spacing w:after="80"/>
      </w:pPr>
      <w:r>
        <w:rPr>
          <w:b/>
          <w:sz w:val="21"/>
        </w:rPr>
        <w:t>This measures agreement with the training teacher, not ground truth.</w:t>
      </w:r>
      <w:r>
        <w:rPr>
          <w:sz w:val="21"/>
        </w:rPr>
        <w:t xml:space="preserve"> The "reference" in every comparison is the original Azure-model-generated label — the same labels the model was fine-tuned to reproduce. High agreement confirms distillation + quantization fidelity; it does not independently confirm the Azure labels themselves were correct.</w:t>
      </w:r>
    </w:p>
    <w:p>
      <w:pPr>
        <w:pStyle w:val="ListBullet"/>
        <w:spacing w:after="80"/>
      </w:pPr>
      <w:r>
        <w:rPr>
          <w:b/>
          <w:sz w:val="21"/>
        </w:rPr>
        <w:t>Metrics are job-weighted averages, not simple means-of-means.</w:t>
      </w:r>
      <w:r>
        <w:rPr>
          <w:sz w:val="21"/>
        </w:rPr>
        <w:t xml:space="preserve"> A direct table-level ("micro") recomputation of the 6 fields available at that granularity matches the job-weighted figures to within 0.2 point, confirming the weighting doesn't distort the headline numbers.</w:t>
      </w:r>
    </w:p>
    <w:p>
      <w:pPr>
        <w:pStyle w:val="ListBullet"/>
        <w:spacing w:after="80"/>
      </w:pPr>
      <w:r>
        <w:rPr>
          <w:b/>
          <w:sz w:val="21"/>
        </w:rPr>
        <w:t>Small-sample documents dominate the best/worst lists.</w:t>
      </w:r>
      <w:r>
        <w:rPr>
          <w:sz w:val="21"/>
        </w:rPr>
        <w:t xml:space="preserve"> With only 24 unique documents total, most have 4–10 compared tables; treat document-level rankings as a starting point for spot-checking, not a precise severity ranking.</w:t>
      </w:r>
    </w:p>
    <w:p>
      <w:pPr>
        <w:pStyle w:val="ListBullet"/>
        <w:spacing w:after="80"/>
      </w:pPr>
      <w:r>
        <w:rPr>
          <w:b/>
          <w:sz w:val="21"/>
        </w:rPr>
        <w:t>`concept_id`'s apparent held-out advantage (§6) is a sampling artifact, not a generalization finding</w:t>
      </w:r>
      <w:r>
        <w:rPr>
          <w:sz w:val="21"/>
        </w:rPr>
        <w:t xml:space="preserve"> — carried forward from the same caveat in the 2026-07-24 report.</w:t>
      </w:r>
    </w:p>
    <w:p>
      <w:pPr>
        <w:spacing w:after="160"/>
      </w:pPr>
      <w:r>
        <w:rPr>
          <w:sz w:val="21"/>
        </w:rPr>
        <w:t xml:space="preserve">6. Full raw statistics are in </w:t>
      </w:r>
      <w:r>
        <w:rPr>
          <w:rFonts w:ascii="Consolas" w:hAnsi="Consolas"/>
          <w:color w:val="8A2B06"/>
          <w:sz w:val="20"/>
        </w:rPr>
        <w:t>report_assets/eval_stats_unseen.json</w:t>
      </w:r>
      <w:r>
        <w:rPr>
          <w:sz w:val="21"/>
        </w:rPr>
        <w:t xml:space="preserve">; regenerate with </w:t>
      </w:r>
      <w:r>
        <w:rPr>
          <w:rFonts w:ascii="Consolas" w:hAnsi="Consolas"/>
          <w:color w:val="8A2B06"/>
          <w:sz w:val="20"/>
        </w:rPr>
        <w:t>report_assets/analyze_eval_unseen.py</w:t>
      </w:r>
      <w:r>
        <w:rPr>
          <w:sz w:val="21"/>
        </w:rPr>
        <w:t xml:space="preserve"> and </w:t>
      </w:r>
      <w:r>
        <w:rPr>
          <w:rFonts w:ascii="Consolas" w:hAnsi="Consolas"/>
          <w:color w:val="8A2B06"/>
          <w:sz w:val="20"/>
        </w:rPr>
        <w:t>report_assets/eval_chart_gen_unseen.py</w:t>
      </w:r>
      <w:r>
        <w:rPr>
          <w:sz w:val="21"/>
        </w:rPr>
        <w:t xml:space="preserve">. For the full deployment cost/capacity analysis, see §9 of </w:t>
      </w:r>
      <w:r>
        <w:rPr>
          <w:rFonts w:ascii="Consolas" w:hAnsi="Consolas"/>
          <w:color w:val="8A2B06"/>
          <w:sz w:val="20"/>
        </w:rPr>
        <w:t>Evaluation_and_Metrics_Report.docx</w:t>
      </w:r>
      <w:r>
        <w:rPr>
          <w:sz w:val="21"/>
        </w:rPr>
        <w:t xml:space="preserve"> (2026-07-24) — that analysis is a property of the T4 deployment, not of which document subset is evaluated, and is unchanged here.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