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160"/>
      </w:pPr>
      <w:r>
        <w:rPr>
          <w:b/>
          <w:color w:val="0B0B0B"/>
          <w:sz w:val="40"/>
        </w:rPr>
        <w:t>Training Dataset &amp; Training Report</w:t>
      </w:r>
    </w:p>
    <w:p>
      <w:pPr>
        <w:pStyle w:val="Heading1"/>
        <w:spacing w:before="80" w:after="160"/>
      </w:pPr>
      <w:r>
        <w:rPr>
          <w:b/>
          <w:color w:val="0B0B0B"/>
          <w:sz w:val="40"/>
        </w:rPr>
        <w:t>Prepared By – Mandar Vilas Ukrulkar / 11-08-26</w:t>
      </w:r>
    </w:p>
    <w:p>
      <w:pPr>
        <w:spacing w:after="160"/>
      </w:pPr>
      <w:r>
        <w:rPr>
          <w:sz w:val="21"/>
        </w:rPr>
        <w:t>#</w:t>
      </w:r>
    </w:p>
    <w:p>
      <w:pPr>
        <w:pStyle w:val="Heading1"/>
        <w:spacing w:before="80" w:after="160"/>
      </w:pPr>
      <w:r>
        <w:rPr>
          <w:b/>
          <w:color w:val="0B0B0B"/>
          <w:sz w:val="40"/>
        </w:rPr>
        <w:t>Name: dataset_v16v2_200726.clean.canonical.jsonl</w:t>
      </w:r>
    </w:p>
    <w:p>
      <w:pPr>
        <w:spacing w:after="160"/>
      </w:pPr>
      <w:r>
        <w:rPr>
          <w:sz w:val="21"/>
        </w:rPr>
        <w:t xml:space="preserve">Model target: Qwen3.5-4B financial-table-structure analyst (LoRA fine-tune, adapter </w:t>
      </w:r>
      <w:r>
        <w:rPr>
          <w:rFonts w:ascii="Consolas" w:hAnsi="Consolas"/>
          <w:color w:val="8A2B06"/>
          <w:sz w:val="20"/>
        </w:rPr>
        <w:t>Qwen3.5-4B_v16v2_clean_dataset_210826_v2</w:t>
      </w:r>
      <w:r>
        <w:rPr>
          <w:sz w:val="21"/>
        </w:rPr>
        <w:t>)</w:t>
      </w:r>
    </w:p>
    <w:p>
      <w:pPr>
        <w:spacing w:after="160"/>
      </w:pPr>
      <w:r>
        <w:rPr>
          <w:sz w:val="21"/>
        </w:rPr>
        <w:t>Dataset file: dataset_v16v2_200726.clean.canonical.jsonl (6,109 records, ~100 MB)</w:t>
      </w:r>
    </w:p>
    <w:p>
      <w:pPr>
        <w:spacing w:after="160"/>
      </w:pPr>
      <w:r>
        <w:rPr>
          <w:sz w:val="21"/>
        </w:rPr>
        <w:t>Source corpus: C:\Users\mandar.ukrulkar\Downloads\data_raw_in_out_jsons_200726\output (the same job-output snapshot used to build the pre-canonicalization dataset)</w:t>
      </w:r>
    </w:p>
    <w:p>
      <w:pPr>
        <w:spacing w:after="160"/>
      </w:pPr>
      <w:r>
        <w:rPr>
          <w:sz w:val="21"/>
        </w:rPr>
        <w:t>Training code: VM_training_scripts/main_v2.py</w:t>
      </w:r>
    </w:p>
    <w:p>
      <w:pPr>
        <w:spacing w:after="160"/>
      </w:pPr>
      <w:r>
        <w:rPr>
          <w:sz w:val="21"/>
        </w:rPr>
        <w:t>Report generated: 2026-08-11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Source documents processed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249 unique financial-statement documents (+3 re-run twice, +1 non-classification QA job)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Total tables detected by the parser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19,821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Tables classified as *financial* (candidates for labeling)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6,260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Tables skipped as non-financial (TOC, prose, boilerplate)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13,532 (68%)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Raw compiled dataset (dataset_v16v2_200726.jsonl)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6,289 records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De-duplicated clean dataset (*.clean.jsonl)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6,109 records (180 removed, 2.9%)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Canonicalized dataset (*.clean.canonical.jsonl)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b/>
                <w:sz w:val="19"/>
              </w:rPr>
              <w:t>6,109 records — 0 removed, value-level relabeling only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Cells/fields remapped by canonicalization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table_type 420, concept_id 820, concept_meaning 2,742, unit 1,175, scale_multiplier 64,730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Distinct </w:t>
            </w:r>
            <w:r>
              <w:rPr>
                <w:rFonts w:ascii="Consolas" w:hAnsi="Consolas"/>
                <w:color w:val="8A2B06"/>
                <w:sz w:val="18"/>
              </w:rPr>
              <w:t>table_type</w:t>
            </w:r>
            <w:r>
              <w:rPr>
                <w:sz w:val="19"/>
              </w:rPr>
              <w:t xml:space="preserve"> label strings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2,087 (down from 2,232 pre-canonicalization, −6.5%)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Median table shape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11 rows × 4 columns (unchanged by canonicalization)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Median prompt / completion length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2,225 / 9,040 characters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Fine-tuning method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LoRA (r=32, alpha=64) on Qwen/Qwen3.5-4B, 1× NVIDIA L4 GPU, bf16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Training run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 epochs / 363 steps, effective batch 48, ~11.4 hours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Held-out evaluation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b/>
                <w:sz w:val="19"/>
              </w:rPr>
              <w:t>5% split (306 samples), evaluated every 40 steps — best checkpoint kept by eval_loss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Final training loss (epoch 3 mean)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~0.124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Final eval loss / eval token accuracy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0.137 / 96.55%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The training set is built from the same real financial-statement tables (10-Ks, 20-Fs, annual reports, insurance/bank filings) as the </w:t>
      </w:r>
      <w:r>
        <w:rPr>
          <w:rFonts w:ascii="Consolas" w:hAnsi="Consolas"/>
          <w:color w:val="8A2B06"/>
          <w:sz w:val="20"/>
        </w:rPr>
        <w:t>*.clean.jsonl</w:t>
      </w:r>
      <w:r>
        <w:rPr>
          <w:sz w:val="21"/>
        </w:rPr>
        <w:t xml:space="preserve"> dataset, but with an added canonicalization pass that normalizes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scale_multiplier</w:t>
      </w:r>
      <w:r>
        <w:rPr>
          <w:sz w:val="21"/>
        </w:rPr>
        <w:t xml:space="preserve">, and 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 values before fine-tuning. Unlike the sibling adapter trained on </w:t>
      </w:r>
      <w:r>
        <w:rPr>
          <w:rFonts w:ascii="Consolas" w:hAnsi="Consolas"/>
          <w:color w:val="8A2B06"/>
          <w:sz w:val="20"/>
        </w:rPr>
        <w:t>*.clean.jsonl</w:t>
      </w:r>
      <w:r>
        <w:rPr>
          <w:sz w:val="21"/>
        </w:rPr>
        <w:t xml:space="preserve"> (main.py, no eval split), this run holds out 5% of the data for genuine generalization tracking.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2. How this report was produced</w:t>
      </w:r>
    </w:p>
    <w:p>
      <w:pPr>
        <w:spacing w:after="160"/>
      </w:pPr>
      <w:r>
        <w:rPr>
          <w:sz w:val="21"/>
        </w:rPr>
        <w:t>Three data sources were combined:</w:t>
      </w:r>
    </w:p>
    <w:p>
      <w:pPr>
        <w:pStyle w:val="ListBullet"/>
        <w:spacing w:after="80"/>
      </w:pPr>
      <w:r>
        <w:rPr>
          <w:b/>
          <w:sz w:val="21"/>
        </w:rPr>
        <w:t>Source job outputs</w:t>
      </w:r>
      <w:r>
        <w:rPr>
          <w:sz w:val="21"/>
        </w:rPr>
        <w:t xml:space="preserve"> — C:\Users\mandar.ukrulkar\Downloads\data_raw_in_out_jsons_200726\output (253 job folders), the exact snapshot </w:t>
      </w:r>
      <w:r>
        <w:rPr>
          <w:rFonts w:ascii="Consolas" w:hAnsi="Consolas"/>
          <w:color w:val="8A2B06"/>
          <w:sz w:val="20"/>
        </w:rPr>
        <w:t>dataprep_140726.py</w:t>
      </w:r>
      <w:r>
        <w:rPr>
          <w:sz w:val="21"/>
        </w:rPr>
        <w:t xml:space="preserve"> compiled from. Unchanged from the </w:t>
      </w:r>
      <w:r>
        <w:rPr>
          <w:rFonts w:ascii="Consolas" w:hAnsi="Consolas"/>
          <w:color w:val="8A2B06"/>
          <w:sz w:val="20"/>
        </w:rPr>
        <w:t>*.clean.jsonl</w:t>
      </w:r>
      <w:r>
        <w:rPr>
          <w:sz w:val="21"/>
        </w:rPr>
        <w:t xml:space="preserve"> report — reproduced in §3 for a self-contained document.</w:t>
      </w:r>
    </w:p>
    <w:p>
      <w:pPr>
        <w:pStyle w:val="ListBullet"/>
        <w:spacing w:after="80"/>
      </w:pPr>
      <w:r>
        <w:rPr>
          <w:b/>
          <w:sz w:val="21"/>
        </w:rPr>
        <w:t>The compiled/cleaned training files</w:t>
      </w:r>
      <w:r>
        <w:rPr>
          <w:sz w:val="21"/>
        </w:rPr>
        <w:t xml:space="preserve"> — dataset_v16v2_200726.jsonl (raw) and dataset_v16v2_200726.clean.jsonl (de-duplicated), used here only as the "before" side of the canonicalization diff.</w:t>
      </w:r>
    </w:p>
    <w:p>
      <w:pPr>
        <w:pStyle w:val="ListBullet"/>
        <w:spacing w:after="80"/>
      </w:pPr>
      <w:r>
        <w:rPr>
          <w:b/>
          <w:sz w:val="21"/>
        </w:rPr>
        <w:t>The canonical training file and its transform log</w:t>
      </w:r>
      <w:r>
        <w:rPr>
          <w:sz w:val="21"/>
        </w:rPr>
        <w:t xml:space="preserve"> — dataprep/dataset_v16v2_200726.clean.canonical.jsonl (via </w:t>
      </w:r>
      <w:r>
        <w:rPr>
          <w:rFonts w:ascii="Consolas" w:hAnsi="Consolas"/>
          <w:color w:val="8A2B06"/>
          <w:sz w:val="20"/>
        </w:rPr>
        <w:t>dataprep/canonicalize_dataset.py</w:t>
      </w:r>
      <w:r>
        <w:rPr>
          <w:sz w:val="21"/>
        </w:rPr>
        <w:t>) and dataprep/../report_assets/canonicalization_report.json, analyzed directly for §4 and the EDA in §5.</w:t>
      </w:r>
    </w:p>
    <w:p>
      <w:pPr>
        <w:spacing w:after="160"/>
      </w:pPr>
      <w:r>
        <w:rPr>
          <w:sz w:val="21"/>
        </w:rPr>
        <w:t xml:space="preserve">Provenance check: canonicalization changes field *values* inside existing records — it does not add, remove, or re-key records. </w:t>
      </w:r>
      <w:r>
        <w:rPr>
          <w:rFonts w:ascii="Consolas" w:hAnsi="Consolas"/>
          <w:color w:val="8A2B06"/>
          <w:sz w:val="20"/>
        </w:rPr>
        <w:t>dataset_v16v2_200726.clean.canonical.jsonl</w:t>
      </w:r>
      <w:r>
        <w:rPr>
          <w:sz w:val="21"/>
        </w:rPr>
        <w:t xml:space="preserve"> and </w:t>
      </w:r>
      <w:r>
        <w:rPr>
          <w:rFonts w:ascii="Consolas" w:hAnsi="Consolas"/>
          <w:color w:val="8A2B06"/>
          <w:sz w:val="20"/>
        </w:rPr>
        <w:t>dataset_v16v2_200726.clean.jsonl</w:t>
      </w:r>
      <w:r>
        <w:rPr>
          <w:sz w:val="21"/>
        </w:rPr>
        <w:t xml:space="preserve"> both contain exactly 6,109 records, confirmed by direct line count of both files. §3's job/document ledger therefore applies unchanged to this dataset.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3. Source corpus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3.1 Job-level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Total processing jobs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253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— classification jobs (ai_provider: azure)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251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— non-classification QA/extraction jobs (no labeling)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Unique source documents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249 (+3 documents each re-run through the pipeline twice)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Tables per job (table_count) — median / mean / max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64 / 79.0 / 691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Financial tables per job — median / mean / max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11.5 / 25.0 / 222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>Every classification job used the same pipeline configuration (ai_provider: azure, classified: true). The two non-classification jobs were extraction-only test runs against the same QA file and contributed zero labeled tables.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3.2 Documents by number of labeled financial tables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47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documents_by_tables_adapter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>The corpus is dominated by long-form annual filings — 20-F filings and full annual reports (Eni, ENI SPA, Lavoro, Energy Company of Minas Gerais, Endesa, MC Group) each contribute 150–222 tables, an order of magnitude more than a typical single-country statutory filing (~10–30 tables).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3.3 Table-count distribution across the corpus</w:t>
      </w:r>
    </w:p>
    <w:p>
      <w:pPr>
        <w:spacing w:after="160"/>
      </w:pPr>
      <w:r>
        <w:rPr>
          <w:sz w:val="21"/>
        </w:rPr>
        <w:t>Heavily right-skewed: 62% of documents (156 of 250) contribute fewer than 20 financial tables; a long tail of 12 large multi-jurisdiction filings each contribute 100+.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4. From source tables to training set</w:t>
      </w:r>
    </w:p>
    <w:p>
      <w:pPr>
        <w:spacing w:after="200"/>
        <w:shd w:val="clear" w:fill="F2F2EF"/>
      </w:pPr>
      <w:r>
        <w:rPr>
          <w:rFonts w:ascii="Consolas" w:hAnsi="Consolas"/>
          <w:color w:val="52514E"/>
          <w:sz w:val="18"/>
        </w:rPr>
        <w:t>Parser output (job dirs)         19,821 tables detected</w:t>
      </w:r>
      <w:r>
        <w:br/>
      </w:r>
      <w:r>
        <w:rPr>
          <w:rFonts w:ascii="Consolas" w:hAnsi="Consolas"/>
          <w:color w:val="52514E"/>
          <w:sz w:val="18"/>
        </w:rPr>
        <w:t xml:space="preserve">    └─ financial-table filter →   6,260 tables classified as financial</w:t>
      </w:r>
      <w:r>
        <w:br/>
      </w:r>
      <w:r>
        <w:rPr>
          <w:rFonts w:ascii="Consolas" w:hAnsi="Consolas"/>
          <w:color w:val="52514E"/>
          <w:sz w:val="18"/>
        </w:rPr>
        <w:t xml:space="preserve">         └─ dataprep_140726.py →  6,289 (prompt, completion) records  → dataset_v16v2_200726.jsonl</w:t>
      </w:r>
      <w:r>
        <w:br/>
      </w:r>
      <w:r>
        <w:rPr>
          <w:rFonts w:ascii="Consolas" w:hAnsi="Consolas"/>
          <w:color w:val="52514E"/>
          <w:sz w:val="18"/>
        </w:rPr>
        <w:t xml:space="preserve">              └─ dataset_clean.py (near-duplicate table_type resolution)</w:t>
      </w:r>
      <w:r>
        <w:br/>
      </w:r>
      <w:r>
        <w:rPr>
          <w:rFonts w:ascii="Consolas" w:hAnsi="Consolas"/>
          <w:color w:val="52514E"/>
          <w:sz w:val="18"/>
        </w:rPr>
        <w:t xml:space="preserve">                   └─ 6,109 records → dataset_v16v2_200726.clean.jsonl</w:t>
      </w:r>
      <w:r>
        <w:br/>
      </w:r>
      <w:r>
        <w:rPr>
          <w:rFonts w:ascii="Consolas" w:hAnsi="Consolas"/>
          <w:color w:val="52514E"/>
          <w:sz w:val="18"/>
        </w:rPr>
        <w:t xml:space="preserve">                        └─ canonicalize_dataset.py (value-level normalization, no records dropped)</w:t>
      </w:r>
      <w:r>
        <w:br/>
      </w:r>
      <w:r>
        <w:rPr>
          <w:rFonts w:ascii="Consolas" w:hAnsi="Consolas"/>
          <w:color w:val="52514E"/>
          <w:sz w:val="18"/>
        </w:rPr>
        <w:t xml:space="preserve">                             └─ 6,109 records → dataset_v16v2_200726.clean.canonical.jsonl   ← used for training</w:t>
      </w:r>
    </w:p>
    <w:p>
      <w:pPr>
        <w:spacing w:after="160"/>
      </w:pPr>
      <w:r>
        <w:rPr>
          <w:rFonts w:ascii="Consolas" w:hAnsi="Consolas"/>
          <w:color w:val="8A2B06"/>
          <w:sz w:val="20"/>
        </w:rPr>
        <w:t>canonicalize_dataset.py</w:t>
      </w:r>
      <w:r>
        <w:rPr>
          <w:sz w:val="21"/>
        </w:rPr>
        <w:t xml:space="preserve"> does not touch record count — it relabels field *values* on the same 6,109 records that </w:t>
      </w:r>
      <w:r>
        <w:rPr>
          <w:rFonts w:ascii="Consolas" w:hAnsi="Consolas"/>
          <w:color w:val="8A2B06"/>
          <w:sz w:val="20"/>
        </w:rPr>
        <w:t>dataset_clean.py</w:t>
      </w:r>
      <w:r>
        <w:rPr>
          <w:sz w:val="21"/>
        </w:rPr>
        <w:t xml:space="preserve"> produced:</w:t>
      </w:r>
    </w:p>
    <w:p>
      <w:pPr>
        <w:pStyle w:val="ListBullet"/>
        <w:spacing w:after="80"/>
      </w:pPr>
      <w:r>
        <w:rPr>
          <w:b/>
          <w:sz w:val="21"/>
        </w:rPr>
        <w:t>table_type</w:t>
      </w:r>
      <w:r>
        <w:rPr>
          <w:sz w:val="21"/>
        </w:rPr>
        <w:t>: 420 cells remapped, collapsing 2,232 → 2,087 distinct label strings.</w:t>
      </w:r>
    </w:p>
    <w:p>
      <w:pPr>
        <w:pStyle w:val="ListBullet"/>
        <w:spacing w:after="80"/>
      </w:pPr>
      <w:r>
        <w:rPr>
          <w:b/>
          <w:sz w:val="21"/>
        </w:rPr>
        <w:t>concept_id</w:t>
      </w:r>
      <w:r>
        <w:rPr>
          <w:sz w:val="21"/>
        </w:rPr>
        <w:t>: 820 cells remapped, 67,473 → 67,134 distinct values.</w:t>
      </w:r>
    </w:p>
    <w:p>
      <w:pPr>
        <w:pStyle w:val="ListBullet"/>
        <w:spacing w:after="80"/>
      </w:pPr>
      <w:r>
        <w:rPr>
          <w:b/>
          <w:sz w:val="21"/>
        </w:rPr>
        <w:t>concept_meaning</w:t>
      </w:r>
      <w:r>
        <w:rPr>
          <w:sz w:val="21"/>
        </w:rPr>
        <w:t xml:space="preserve">: 2,742 cells remapped — for a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where one free-text meaning holds ≥60% share among its variants, all variants are canonicalized to that dominant meaning. 1,676 concept_ids were resolved this way; 17,211 remain ambiguous (no dominant meaning) and were left as-is — e.g. the concept_id </w:t>
      </w:r>
      <w:r>
        <w:rPr>
          <w:rFonts w:ascii="Consolas" w:hAnsi="Consolas"/>
          <w:color w:val="8A2B06"/>
          <w:sz w:val="20"/>
        </w:rPr>
        <w:t>"Total"</w:t>
      </w:r>
      <w:r>
        <w:rPr>
          <w:sz w:val="21"/>
        </w:rPr>
        <w:t xml:space="preserve"> alone has 365 distinct free-text meaning variants across 579 occurrences.</w:t>
      </w:r>
    </w:p>
    <w:p>
      <w:pPr>
        <w:pStyle w:val="ListBullet"/>
        <w:spacing w:after="80"/>
      </w:pPr>
      <w:r>
        <w:rPr>
          <w:b/>
          <w:sz w:val="21"/>
        </w:rPr>
        <w:t>unit</w:t>
      </w:r>
      <w:r>
        <w:rPr>
          <w:sz w:val="21"/>
        </w:rPr>
        <w:t>: 1,175 cells remapped via a 3-entry alias map (</w:t>
      </w:r>
      <w:r>
        <w:rPr>
          <w:rFonts w:ascii="Consolas" w:hAnsi="Consolas"/>
          <w:color w:val="8A2B06"/>
          <w:sz w:val="20"/>
        </w:rPr>
        <w:t>percentage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percent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EUR_thousand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thousand euro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thousand EUR</w:t>
      </w:r>
      <w:r>
        <w:rPr>
          <w:sz w:val="21"/>
        </w:rPr>
        <w:t xml:space="preserve">), reducing 210 → 188 distinct units. 32 additional mixed-scale unit variants (e.g. </w:t>
      </w:r>
      <w:r>
        <w:rPr>
          <w:rFonts w:ascii="Consolas" w:hAnsi="Consolas"/>
          <w:color w:val="8A2B06"/>
          <w:sz w:val="20"/>
        </w:rPr>
        <w:t>million HUF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EUR_thousand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billion_cubic_meter</w:t>
      </w:r>
      <w:r>
        <w:rPr>
          <w:sz w:val="21"/>
        </w:rPr>
        <w:t xml:space="preserve">) were flagged but </w:t>
      </w:r>
      <w:r>
        <w:rPr>
          <w:b/>
          <w:sz w:val="21"/>
        </w:rPr>
        <w:t>not</w:t>
      </w:r>
      <w:r>
        <w:rPr>
          <w:sz w:val="21"/>
        </w:rPr>
        <w:t xml:space="preserve"> auto-fixed and remain separate strings.</w:t>
      </w:r>
    </w:p>
    <w:p>
      <w:pPr>
        <w:pStyle w:val="ListBullet"/>
        <w:spacing w:after="80"/>
      </w:pPr>
      <w:r>
        <w:rPr>
          <w:b/>
          <w:sz w:val="21"/>
        </w:rPr>
        <w:t>scale_multiplier</w:t>
      </w:r>
      <w:r>
        <w:rPr>
          <w:sz w:val="21"/>
        </w:rPr>
        <w:t>: 64,730 cells standardized down to 10 canonical multiplier values (</w:t>
      </w:r>
      <w:r>
        <w:rPr>
          <w:rFonts w:ascii="Consolas" w:hAnsi="Consolas"/>
          <w:color w:val="8A2B06"/>
          <w:sz w:val="20"/>
        </w:rPr>
        <w:t>1000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1000000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1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0.01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1000000000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100</w:t>
      </w:r>
      <w:r>
        <w:rPr>
          <w:sz w:val="21"/>
        </w:rPr>
        <w:t>, and four rare fractional values).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5. EDA — canonical training dataset (6,109 records)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5.1 table_type label distribution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table_types_canon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onicalization_table_type_shrin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sz w:val="21"/>
        </w:rPr>
        <w:t>2,087 distinct label strings across 6,109 records (down from 2,232 pre-canonicalization) — canonicalization closed 145 near-duplicate label variants, but the taxonomy is still effectively open-vocabulary/free-text rather than a fixed enum.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other</w:t>
      </w:r>
      <w:r>
        <w:rPr>
          <w:sz w:val="21"/>
        </w:rPr>
        <w:t xml:space="preserve"> remains the single largest bucket, consistent with the pre-canonicalization distribution — tables the labeler couldn't map to a specific known statement type.</w:t>
      </w:r>
    </w:p>
    <w:p>
      <w:pPr>
        <w:pStyle w:val="ListBullet"/>
        <w:spacing w:after="80"/>
      </w:pPr>
      <w:r>
        <w:rPr>
          <w:sz w:val="21"/>
        </w:rPr>
        <w:t>Beyond the top ~20, the distribution still has a very long tail: most distinct labels occur only 1–3 times, so canonicalization narrows but does not solve the low-example-count problem for most specific table types.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5.2 Table shape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shape_hist_adapter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992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p25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median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p75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p90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p99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Rows/table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14.4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104</w:t>
            </w:r>
          </w:p>
        </w:tc>
      </w:tr>
      <w:tr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Columns/table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4.9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37</w:t>
            </w:r>
          </w:p>
        </w:tc>
      </w:tr>
      <w:tr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Cells/table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35.0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47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82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156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285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Identical to the pre-canonicalization dataset — canonicalization only rewrites </w:t>
      </w: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unit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scale_multiplier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 values, not table dimensions.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5.3 Row and column semantic composition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type_distribution_adapter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umn_type_distribution_adapter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>Across all 6,109 tables, labeled rows total 88,154 and columns 30,083: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3216"/>
        <w:gridCol w:w="3216"/>
        <w:gridCol w:w="3216"/>
      </w:tblGrid>
      <w:tr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Row type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Share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data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54,005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61.3%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row_header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23,282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26.4%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5,833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6.6%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subtotal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4,153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4.7%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grand_total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876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1.0%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change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&lt;0.1%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3216"/>
        <w:gridCol w:w="3216"/>
        <w:gridCol w:w="3216"/>
      </w:tblGrid>
      <w:tr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Column type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2976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Share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period_data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18,511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61.5%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label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8,991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29.9%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total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1,119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3.7%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note_ref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820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2.7%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change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441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1.5%</w:t>
            </w:r>
          </w:p>
        </w:tc>
      </w:tr>
      <w:tr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grand_total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166</w:t>
            </w:r>
          </w:p>
        </w:tc>
        <w:tc>
          <w:tcPr>
            <w:tcW w:type="dxa" w:w="2976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0.6%</w:t>
            </w:r>
          </w:p>
        </w:tc>
      </w:tr>
      <w:tr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subtotal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35</w:t>
            </w:r>
          </w:p>
        </w:tc>
        <w:tc>
          <w:tcPr>
            <w:tcW w:type="dxa" w:w="2976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0.1%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Row/column type counts are byte-for-byte identical to the pre-canonicalization dataset, confirming </w:t>
      </w:r>
      <w:r>
        <w:rPr>
          <w:rFonts w:ascii="Consolas" w:hAnsi="Consolas"/>
          <w:color w:val="8A2B06"/>
          <w:sz w:val="20"/>
        </w:rPr>
        <w:t>canonicalize_dataset.py</w:t>
      </w:r>
      <w:r>
        <w:rPr>
          <w:sz w:val="21"/>
        </w:rPr>
        <w:t xml:space="preserve"> left structural row/column typing untouched.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5.4 Prompt / completion length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9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completion_len_hist_adapter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5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992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p25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median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p75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p90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p99</w:t>
            </w:r>
          </w:p>
        </w:tc>
        <w:tc>
          <w:tcPr>
            <w:tcW w:type="dxa" w:w="99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Prompt (chars)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443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1,437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2,225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2,859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3,720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5,472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10,055</w:t>
            </w:r>
          </w:p>
        </w:tc>
        <w:tc>
          <w:tcPr>
            <w:tcW w:type="dxa" w:w="99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17,648</w:t>
            </w:r>
          </w:p>
        </w:tc>
      </w:tr>
      <w:tr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Completion (chars)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427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4,807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9,040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12,721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17,255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28,522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52,758</w:t>
            </w:r>
          </w:p>
        </w:tc>
        <w:tc>
          <w:tcPr>
            <w:tcW w:type="dxa" w:w="99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86,231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Prompts are byte-identical to the pre-canonicalization file (prompts don't carry label values). Completions shift by a handful of characters at the median (9,035 → 9,040) — the net effect of swapping some label strings for slightly longer/shorter canonical equivalents (e.g. </w:t>
      </w:r>
      <w:r>
        <w:rPr>
          <w:rFonts w:ascii="Consolas" w:hAnsi="Consolas"/>
          <w:color w:val="8A2B06"/>
          <w:sz w:val="20"/>
        </w:rPr>
        <w:t>EUR_thousand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thousand EUR</w:t>
      </w:r>
      <w:r>
        <w:rPr>
          <w:sz w:val="21"/>
        </w:rPr>
        <w:t>).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5.5 Label richness / confidence</w:t>
      </w:r>
    </w:p>
    <w:p>
      <w:pPr>
        <w:pStyle w:val="ListBullet"/>
        <w:spacing w:after="80"/>
      </w:pPr>
      <w:r>
        <w:rPr>
          <w:sz w:val="21"/>
        </w:rPr>
        <w:t xml:space="preserve">Cell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 xml:space="preserve"> fill rate: 93.0% — unchanged from the pre-canonicalization dataset; canonicalization relabels existing concept IDs, it doesn't add or remove them.</w:t>
      </w:r>
    </w:p>
    <w:p>
      <w:pPr>
        <w:pStyle w:val="ListBullet"/>
        <w:spacing w:after="80"/>
      </w:pPr>
      <w:r>
        <w:rPr>
          <w:sz w:val="21"/>
        </w:rPr>
        <w:t xml:space="preserve">Row </w:t>
      </w:r>
      <w:r>
        <w:rPr>
          <w:rFonts w:ascii="Consolas" w:hAnsi="Consolas"/>
          <w:color w:val="8A2B06"/>
          <w:sz w:val="20"/>
        </w:rPr>
        <w:t>note_ref_value</w:t>
      </w:r>
      <w:r>
        <w:rPr>
          <w:sz w:val="21"/>
        </w:rPr>
        <w:t xml:space="preserve"> fill rate: 7.4% — unchanged.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confidence — median 0.95, mean 0.93, min 0.20 — unchanged; canonicalization normalizes the label *value*, not the labeler's original confidence score.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6. Training run</w:t>
      </w:r>
    </w:p>
    <w:p>
      <w:pPr>
        <w:spacing w:after="160"/>
      </w:pPr>
      <w:r>
        <w:rPr>
          <w:sz w:val="21"/>
        </w:rPr>
        <w:t xml:space="preserve">Adapter: </w:t>
      </w:r>
      <w:r>
        <w:rPr>
          <w:rFonts w:ascii="Consolas" w:hAnsi="Consolas"/>
          <w:color w:val="8A2B06"/>
          <w:sz w:val="20"/>
        </w:rPr>
        <w:t>Qwen3.5-4B_v16v2_clean_dataset_210826_v2</w:t>
      </w:r>
      <w:r>
        <w:rPr>
          <w:sz w:val="21"/>
        </w:rPr>
        <w:t xml:space="preserve"> — a LoRA adapter fine-tuned on top of Qwen/Qwen3.5-4B using the canonical 6,109-record dataset from §5, via </w:t>
      </w:r>
      <w:r>
        <w:rPr>
          <w:rFonts w:ascii="Consolas" w:hAnsi="Consolas"/>
          <w:color w:val="8A2B06"/>
          <w:sz w:val="20"/>
        </w:rPr>
        <w:t>VM_training_scripts/main_v2.py</w:t>
      </w:r>
      <w:r>
        <w:rPr>
          <w:sz w:val="21"/>
        </w:rPr>
        <w:t xml:space="preserve"> (the sibling adapter trained on the pre-canonicalization </w:t>
      </w:r>
      <w:r>
        <w:rPr>
          <w:rFonts w:ascii="Consolas" w:hAnsi="Consolas"/>
          <w:color w:val="8A2B06"/>
          <w:sz w:val="20"/>
        </w:rPr>
        <w:t>*.clean.jsonl</w:t>
      </w:r>
      <w:r>
        <w:rPr>
          <w:sz w:val="21"/>
        </w:rPr>
        <w:t xml:space="preserve"> file used </w:t>
      </w:r>
      <w:r>
        <w:rPr>
          <w:rFonts w:ascii="Consolas" w:hAnsi="Consolas"/>
          <w:color w:val="8A2B06"/>
          <w:sz w:val="20"/>
        </w:rPr>
        <w:t>main.py</w:t>
      </w:r>
      <w:r>
        <w:rPr>
          <w:sz w:val="21"/>
        </w:rPr>
        <w:t>).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6.1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Base model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Qwen/Qwen3.5-4B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Method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LoRA (PEFT 0.20.0)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LoRA rank / alpha / dropout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r=32, alpha=64, dropout=0.05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LoRA target modules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q_proj, k_proj, v_proj, o_proj, gate_proj, up_proj, down_proj, out_proj, in_proj_qkv, in_proj_a, in_proj_b, in_proj_z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Hardware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1× NVIDIA L4 GPU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Precision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bf16, gradient checkpointing on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Software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torch 2.8.0+cu128, transformers 5.14.1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Dataset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 xml:space="preserve">dataset_v16v2_200726.clean.canonical.jsonl — 5,803 train / </w:t>
            </w:r>
            <w:r>
              <w:rPr>
                <w:b/>
                <w:sz w:val="19"/>
              </w:rPr>
              <w:t>306 held-out eval (5%)</w:t>
            </w:r>
            <w:r>
              <w:rPr>
                <w:sz w:val="19"/>
              </w:rPr>
              <w:t>, max sequence length 1,024 tokens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Epochs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Per-device batch size / grad. accumulation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 / 24 → effective batch size 48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Optimizer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AdamW (β1=0.9, β2=0.999, ε=1e-8), weight decay 0.01, max grad norm 1.0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LR schedule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5e-5 peak, cosine decay, 5% warmup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Eval strategy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 xml:space="preserve">every 40 steps on the held-out split; best checkpoint restored by </w:t>
            </w:r>
            <w:r>
              <w:rPr>
                <w:rFonts w:ascii="Consolas" w:hAnsi="Consolas"/>
                <w:color w:val="8A2B06"/>
                <w:sz w:val="18"/>
              </w:rPr>
              <w:t>eval_loss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A2B06"/>
                <w:sz w:val="18"/>
              </w:rPr>
              <w:t>load_best_model_at_end=true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Seed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42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The LoRA target list is identical to the sibling </w:t>
      </w:r>
      <w:r>
        <w:rPr>
          <w:rFonts w:ascii="Consolas" w:hAnsi="Consolas"/>
          <w:color w:val="8A2B06"/>
          <w:sz w:val="20"/>
        </w:rPr>
        <w:t>main.py</w:t>
      </w:r>
      <w:r>
        <w:rPr>
          <w:sz w:val="21"/>
        </w:rPr>
        <w:t xml:space="preserve"> run — same rank/alpha and the same gated-projection module names (</w:t>
      </w:r>
      <w:r>
        <w:rPr>
          <w:rFonts w:ascii="Consolas" w:hAnsi="Consolas"/>
          <w:color w:val="8A2B06"/>
          <w:sz w:val="20"/>
        </w:rPr>
        <w:t>in_proj_qkv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in_proj_a/b/z</w:t>
      </w:r>
      <w:r>
        <w:rPr>
          <w:sz w:val="21"/>
        </w:rPr>
        <w:t>) alongside the standard q/k/v/o projections, consistent with Qwen3.5-4B's hybrid/gated attention block. The two runs differ in dataset (canonical vs. raw-clean), precision (bf16 vs. fp16), evaluation (held-out 5% split vs. none), and warmup fraction (5% vs. 3%) — not in LoRA capacity.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6.2 Loss curve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499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_curve_adapter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Mean train loss (logged steps)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Max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0.248 (skewed by the first few warmup steps)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0.150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0.827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0.139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0.130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0.149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0.124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0.116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0.134</w:t>
            </w:r>
          </w:p>
        </w:tc>
      </w:tr>
    </w:tbl>
    <w:p>
      <w:pPr>
        <w:spacing w:after="80"/>
      </w:pP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95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loss_accuracy_adapter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5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Epoch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Eval loss</w:t>
            </w:r>
          </w:p>
        </w:tc>
        <w:tc>
          <w:tcPr>
            <w:tcW w:type="dxa" w:w="2232"/>
            <w:shd w:val="clear" w:color="auto" w:fill="2A78D6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Eval token accuracy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0.33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0.184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95.63%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80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0.66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0.162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96.04%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120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0.99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0.152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96.23%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160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1.32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0.146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96.35%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1.65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0.142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96.44%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240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1.98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0.139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96.48%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280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2.31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0.138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96.51%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320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2.65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0.137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96.53%</w:t>
            </w:r>
          </w:p>
        </w:tc>
      </w:tr>
      <w:tr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360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2.98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0.137</w:t>
            </w:r>
          </w:p>
        </w:tc>
        <w:tc>
          <w:tcPr>
            <w:tcW w:type="dxa" w:w="2232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96.54%</w:t>
            </w:r>
          </w:p>
        </w:tc>
      </w:tr>
      <w:tr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363 (final)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3.00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0.137</w:t>
            </w:r>
          </w:p>
        </w:tc>
        <w:tc>
          <w:tcPr>
            <w:tcW w:type="dxa" w:w="2232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96.55%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Because this run has a genuine held-out eval split, both curves can be checked against each other directly. Train and eval loss fall together throughout the run with no divergence — the eval curve is never meaningfully above the train curve, and the best checkpoint by </w:t>
      </w:r>
      <w:r>
        <w:rPr>
          <w:rFonts w:ascii="Consolas" w:hAnsi="Consolas"/>
          <w:color w:val="8A2B06"/>
          <w:sz w:val="20"/>
        </w:rPr>
        <w:t>eval_loss</w:t>
      </w:r>
      <w:r>
        <w:rPr>
          <w:sz w:val="21"/>
        </w:rPr>
        <w:t xml:space="preserve"> is the final step (363), so there is no overfitting signal across the full 3 epochs. Loss drops fastest in epoch 1 as the model learns the rigid JSON output template, then flattens into a floor around 0.137 (eval) / 0.124 (train) by epoch 2, with only marginal further gains in epoch 3 — expected diminishing-returns behavior under cosine LR decay, not a stall. Eval token accuracy rises in lockstep from 95.6% to 96.55%. The warmup spike here (loss 0.83 at step 1) is far milder than the sibling </w:t>
      </w:r>
      <w:r>
        <w:rPr>
          <w:rFonts w:ascii="Consolas" w:hAnsi="Consolas"/>
          <w:color w:val="8A2B06"/>
          <w:sz w:val="20"/>
        </w:rPr>
        <w:t>main.py</w:t>
      </w:r>
      <w:r>
        <w:rPr>
          <w:sz w:val="21"/>
        </w:rPr>
        <w:t xml:space="preserve"> run's (~4.3, with </w:t>
      </w:r>
      <w:r>
        <w:rPr>
          <w:rFonts w:ascii="Consolas" w:hAnsi="Consolas"/>
          <w:color w:val="8A2B06"/>
          <w:sz w:val="20"/>
        </w:rPr>
        <w:t>grad_norm: NaN</w:t>
      </w:r>
      <w:r>
        <w:rPr>
          <w:sz w:val="21"/>
        </w:rPr>
        <w:t xml:space="preserve"> for the first 3 logged steps) — this run trains in bf16 rather than fp16 and never hits that early instability, so the trainer-reported aggregate </w:t>
      </w:r>
      <w:r>
        <w:rPr>
          <w:rFonts w:ascii="Consolas" w:hAnsi="Consolas"/>
          <w:color w:val="8A2B06"/>
          <w:sz w:val="20"/>
        </w:rPr>
        <w:t>train_loss</w:t>
      </w:r>
      <w:r>
        <w:rPr>
          <w:sz w:val="21"/>
        </w:rPr>
        <w:t xml:space="preserve"> (0.124) closely tracks the epoch-3 mean rather than being skewed by a warmup spike.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6.3 Learning-rate schedule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738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r_schedule_adapter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1"/>
        </w:rPr>
        <w:t>Warmup over the first 5% of steps to a 5e-5 peak, followed by cosine decay to ~0 over the remaining steps — visible directly in the loss curve's soft convergence across epochs 2–3.</w:t>
      </w:r>
    </w:p>
    <w:p>
      <w:pPr>
        <w:pStyle w:val="Heading3"/>
        <w:spacing w:before="280" w:after="160"/>
      </w:pPr>
      <w:r>
        <w:rPr>
          <w:b/>
          <w:color w:val="2A78D6"/>
          <w:sz w:val="25"/>
        </w:rPr>
        <w:t>6.4 Compute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8D2"/>
          <w:left w:val="single" w:sz="4" w:space="0" w:color="D9D8D2"/>
          <w:bottom w:val="single" w:sz="4" w:space="0" w:color="D9D8D2"/>
          <w:right w:val="single" w:sz="4" w:space="0" w:color="D9D8D2"/>
          <w:insideH w:val="single" w:sz="4" w:space="0" w:color="D9D8D2"/>
          <w:insideV w:val="single" w:sz="4" w:space="0" w:color="D9D8D2"/>
        </w:tblBorders>
      </w:tblPr>
      <w:tblGrid>
        <w:gridCol w:w="4824"/>
        <w:gridCol w:w="4824"/>
      </w:tblGrid>
      <w:tr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  <w:tc>
          <w:tcPr>
            <w:tcW w:type="dxa" w:w="4464"/>
            <w:shd w:val="clear" w:color="auto" w:fill="2A78D6"/>
          </w:tcPr>
          <w:p>
            <w:pPr>
              <w:spacing w:after="40"/>
            </w:pP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Total steps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363 (121/epoch × 3 epochs)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Total training time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41,177 s ≈ 11.4 hours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Throughput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0.423 samples/s, 0.009 steps/s</w:t>
            </w:r>
          </w:p>
        </w:tc>
      </w:tr>
      <w:tr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Total FLOs</w:t>
            </w:r>
          </w:p>
        </w:tc>
        <w:tc>
          <w:tcPr>
            <w:tcW w:type="dxa" w:w="4464"/>
            <w:shd w:val="clear" w:color="auto" w:fill="F2F2EF"/>
          </w:tcPr>
          <w:p>
            <w:pPr>
              <w:spacing w:after="40"/>
            </w:pPr>
            <w:r>
              <w:rPr>
                <w:sz w:val="19"/>
              </w:rPr>
              <w:t>3.88 × 10¹⁷</w:t>
            </w:r>
          </w:p>
        </w:tc>
      </w:tr>
      <w:tr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Checkpointing</w:t>
            </w:r>
          </w:p>
        </w:tc>
        <w:tc>
          <w:tcPr>
            <w:tcW w:type="dxa" w:w="4464"/>
            <w:shd w:val="clear" w:color="auto" w:fill="FCFCFB"/>
          </w:tcPr>
          <w:p>
            <w:pPr>
              <w:spacing w:after="40"/>
            </w:pPr>
            <w:r>
              <w:rPr>
                <w:sz w:val="19"/>
              </w:rPr>
              <w:t>every 40 steps, best 3 kept; best-by-eval_loss checkpoint (step 363) restored at end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1"/>
        </w:rPr>
        <w:t xml:space="preserve">A single L4 GPU, bf16 + gradient checkpointing, pushing an effective batch of 48 through 1,024-token sequences for ~11.4 hours to complete 3 epochs over the 6,109-record set plus a 306-sample eval pass every 40 steps — a modest, single-GPU LoRA fine-tune, faster wall-clock than the sibling </w:t>
      </w:r>
      <w:r>
        <w:rPr>
          <w:rFonts w:ascii="Consolas" w:hAnsi="Consolas"/>
          <w:color w:val="8A2B06"/>
          <w:sz w:val="20"/>
        </w:rPr>
        <w:t>main.py</w:t>
      </w:r>
      <w:r>
        <w:rPr>
          <w:sz w:val="21"/>
        </w:rPr>
        <w:t xml:space="preserve"> run despite the added eval overhead (14.7 hours), consistent with bf16 vs. fp16 throughput differences on this hardware.</w:t>
      </w:r>
    </w:p>
    <w:p>
      <w:pPr>
        <w:pStyle w:val="Heading2"/>
        <w:spacing w:before="280" w:after="160"/>
      </w:pPr>
      <w:r>
        <w:rPr>
          <w:b/>
          <w:color w:val="0B0B0B"/>
          <w:sz w:val="30"/>
        </w:rPr>
        <w:t>7. Notes and caveats</w:t>
      </w:r>
    </w:p>
    <w:p>
      <w:pPr>
        <w:pStyle w:val="ListBullet"/>
        <w:spacing w:after="80"/>
      </w:pPr>
      <w:r>
        <w:rPr>
          <w:sz w:val="21"/>
        </w:rPr>
        <w:t xml:space="preserve">Canonicalization is a value-level relabeling pass over the exact same 6,109 clean records — no records were added or removed, so §3's corpus/job ledger from the </w:t>
      </w:r>
      <w:r>
        <w:rPr>
          <w:rFonts w:ascii="Consolas" w:hAnsi="Consolas"/>
          <w:color w:val="8A2B06"/>
          <w:sz w:val="20"/>
        </w:rPr>
        <w:t>*.clean.jsonl</w:t>
      </w:r>
      <w:r>
        <w:rPr>
          <w:sz w:val="21"/>
        </w:rPr>
        <w:t xml:space="preserve"> report carries over to this dataset unchanged.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table_type</w:t>
      </w:r>
      <w:r>
        <w:rPr>
          <w:sz w:val="21"/>
        </w:rPr>
        <w:t xml:space="preserve"> is still a long-tail, open-vocabulary taxonomy after canonicalization: 2,087 distinct strings across 6,109 records. Canonicalization closed 145 near-duplicate variants (2,232→2,087) via 420 remapped cells, but did not collapse the taxonomy to a fixed enum.</w:t>
      </w:r>
    </w:p>
    <w:p>
      <w:pPr>
        <w:pStyle w:val="ListBullet"/>
        <w:spacing w:after="80"/>
      </w:pPr>
      <w:r>
        <w:rPr>
          <w:rFonts w:ascii="Consolas" w:hAnsi="Consolas"/>
          <w:color w:val="8A2B06"/>
          <w:sz w:val="20"/>
        </w:rPr>
        <w:t>concept_meaning</w:t>
      </w:r>
      <w:r>
        <w:rPr>
          <w:sz w:val="21"/>
        </w:rPr>
        <w:t xml:space="preserve"> canonicalization only resolves </w:t>
      </w:r>
      <w:r>
        <w:rPr>
          <w:rFonts w:ascii="Consolas" w:hAnsi="Consolas"/>
          <w:color w:val="8A2B06"/>
          <w:sz w:val="20"/>
        </w:rPr>
        <w:t>concept_id</w:t>
      </w:r>
      <w:r>
        <w:rPr>
          <w:sz w:val="21"/>
        </w:rPr>
        <w:t>s with a dominant (≥60%) meaning share; 17,211 concept_ids remain ambiguous and were left as free text — a candidate area for further normalization if concept-level accuracy matters more than structural accuracy.</w:t>
      </w:r>
    </w:p>
    <w:p>
      <w:pPr>
        <w:pStyle w:val="ListBullet"/>
        <w:spacing w:after="80"/>
      </w:pPr>
      <w:r>
        <w:rPr>
          <w:sz w:val="21"/>
        </w:rPr>
        <w:t xml:space="preserve">Unit canonicalization applied only a 3-entry alias map; 32 additional mixed-scale unit variants (several hundred cells each, e.g. </w:t>
      </w:r>
      <w:r>
        <w:rPr>
          <w:rFonts w:ascii="Consolas" w:hAnsi="Consolas"/>
          <w:color w:val="8A2B06"/>
          <w:sz w:val="20"/>
        </w:rPr>
        <w:t>million HUF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EUR_thousand</w:t>
      </w:r>
      <w:r>
        <w:rPr>
          <w:sz w:val="21"/>
        </w:rPr>
        <w:t>) were flagged but not auto-fixed and remain as separate unit strings in the training data.</w:t>
      </w:r>
    </w:p>
    <w:p>
      <w:pPr>
        <w:pStyle w:val="ListBullet"/>
        <w:spacing w:after="80"/>
      </w:pPr>
      <w:r>
        <w:rPr>
          <w:sz w:val="21"/>
        </w:rPr>
        <w:t xml:space="preserve">This run used a genuine 5% held-out eval split (306 samples) with </w:t>
      </w:r>
      <w:r>
        <w:rPr>
          <w:rFonts w:ascii="Consolas" w:hAnsi="Consolas"/>
          <w:color w:val="8A2B06"/>
          <w:sz w:val="20"/>
        </w:rPr>
        <w:t>load_best_model_at_end=true</w:t>
      </w:r>
      <w:r>
        <w:rPr>
          <w:sz w:val="21"/>
        </w:rPr>
        <w:t xml:space="preserve"> — reported metrics reflect real generalization, not just training-set fit. Contrast with the sibling </w:t>
      </w:r>
      <w:r>
        <w:rPr>
          <w:rFonts w:ascii="Consolas" w:hAnsi="Consolas"/>
          <w:color w:val="8A2B06"/>
          <w:sz w:val="20"/>
        </w:rPr>
        <w:t>*.clean.jsonl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main.py</w:t>
      </w:r>
      <w:r>
        <w:rPr>
          <w:sz w:val="21"/>
        </w:rPr>
        <w:t xml:space="preserve"> run, which had </w:t>
      </w:r>
      <w:r>
        <w:rPr>
          <w:rFonts w:ascii="Consolas" w:hAnsi="Consolas"/>
          <w:color w:val="8A2B06"/>
          <w:sz w:val="20"/>
        </w:rPr>
        <w:t>eval_strategy: no</w:t>
      </w:r>
      <w:r>
        <w:rPr>
          <w:sz w:val="21"/>
        </w:rPr>
        <w:t xml:space="preserve"> and reports training loss only.</w:t>
      </w:r>
    </w:p>
    <w:p>
      <w:pPr>
        <w:pStyle w:val="ListBullet"/>
        <w:spacing w:after="80"/>
      </w:pPr>
      <w:r>
        <w:rPr>
          <w:sz w:val="21"/>
        </w:rPr>
        <w:t>The train/eval loss floor here (~0.124 / ~0.137) is notably higher than the sibling run's near-zero training loss (~0.025–0.03). Given the sibling run had no eval split, its lower number most likely reflects the raw (non-deduplicated-for-label-consistency) file being easier to fit/memorize, with no held-out check to catch that — it is not evidence that run generalizes better.</w:t>
      </w:r>
    </w:p>
    <w:p>
      <w:pPr>
        <w:pStyle w:val="ListBullet"/>
        <w:spacing w:after="80"/>
      </w:pPr>
      <w:r>
        <w:rPr>
          <w:sz w:val="21"/>
        </w:rPr>
        <w:t xml:space="preserve">Full raw statistics backing this report are in </w:t>
      </w:r>
      <w:r>
        <w:rPr>
          <w:rFonts w:ascii="Consolas" w:hAnsi="Consolas"/>
          <w:color w:val="8A2B06"/>
          <w:sz w:val="20"/>
        </w:rPr>
        <w:t>report_assets_adapter1/stats_adapter1.json</w:t>
      </w:r>
      <w:r>
        <w:rPr>
          <w:sz w:val="21"/>
        </w:rPr>
        <w:t xml:space="preserve">; regenerate with </w:t>
      </w:r>
      <w:r>
        <w:rPr>
          <w:rFonts w:ascii="Consolas" w:hAnsi="Consolas"/>
          <w:color w:val="8A2B06"/>
          <w:sz w:val="20"/>
        </w:rPr>
        <w:t>report_assets_adapter1/analyze_adapter1.py</w:t>
      </w:r>
      <w:r>
        <w:rPr>
          <w:sz w:val="21"/>
        </w:rPr>
        <w:t xml:space="preserve"> (dataset stats), </w:t>
      </w:r>
      <w:r>
        <w:rPr>
          <w:rFonts w:ascii="Consolas" w:hAnsi="Consolas"/>
          <w:color w:val="8A2B06"/>
          <w:sz w:val="20"/>
        </w:rPr>
        <w:t>report_assets_adapter1/chart_gen_adapter1.py</w:t>
      </w:r>
      <w:r>
        <w:rPr>
          <w:sz w:val="21"/>
        </w:rPr>
        <w:t xml:space="preserve"> (dataset charts), and </w:t>
      </w:r>
      <w:r>
        <w:rPr>
          <w:rFonts w:ascii="Consolas" w:hAnsi="Consolas"/>
          <w:color w:val="8A2B06"/>
          <w:sz w:val="20"/>
        </w:rPr>
        <w:t>report_assets_adapter1/train_chart_gen_adapter1.py</w:t>
      </w:r>
      <w:r>
        <w:rPr>
          <w:sz w:val="21"/>
        </w:rPr>
        <w:t xml:space="preserve"> (training-run charts).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