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spacing w:lineRule="auto" w:line="240" w:before="0" w:after="120"/>
        <w:jc w:val="left"/>
      </w:pPr>
      <w:r>
        <w:rPr>
          <w:b/>
          <w:color w:val="0B2545"/>
          <w:sz w:val="40"/>
          <w:rFonts w:ascii="맑은 고딕" w:hAnsi="맑은 고딕" w:eastAsia="맑은 고딕" w:cs="맑은 고딕"/>
        </w:rPr>
        <w:t>MANDATA</w:t>
      </w:r>
    </w:p>
    <w:p>
      <w:pPr>
        <w:pBdr>
          <w:bottom w:val="single" w:sz="14" w:space="1" w:color="0B2545"/>
        </w:pBdr>
      </w:pPr>
    </w:p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spacing w:lineRule="auto" w:line="288" w:before="0" w:after="200"/>
        <w:jc w:val="center"/>
      </w:pPr>
      <w:r>
        <w:rPr>
          <w:b/>
          <w:color w:val="13315C"/>
          <w:sz w:val="56"/>
          <w:rFonts w:ascii="맑은 고딕" w:hAnsi="맑은 고딕" w:eastAsia="맑은 고딕" w:cs="맑은 고딕"/>
        </w:rPr>
        <w:t>데이터 공급 계약서</w:t>
      </w:r>
    </w:p>
    <w:p>
      <w:pPr>
        <w:spacing w:lineRule="auto" w:line="288" w:before="0" w:after="480"/>
        <w:jc w:val="center"/>
      </w:pPr>
      <w:r>
        <w:rPr>
          <w:b w:val="0"/>
          <w:color w:val="595959"/>
          <w:sz w:val="24"/>
          <w:rFonts w:ascii="맑은 고딕" w:hAnsi="맑은 고딕" w:eastAsia="맑은 고딕" w:cs="맑은 고딕"/>
        </w:rPr>
        <w:t>Data Supply Agreement (Domestic Source v1.0)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shd w:val="clear" w:color="auto" w:fill="0B2545"/>
            <w:vAlign w:val="center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  <w:color w:val="FFFFFF"/>
                <w:sz w:val="22"/>
                <w:rFonts w:ascii="맑은 고딕" w:hAnsi="맑은 고딕" w:eastAsia="맑은 고딕" w:cs="맑은 고딕"/>
              </w:rPr>
              <w:t>갑 (데이터 원천사)</w:t>
            </w:r>
          </w:p>
        </w:tc>
        <w:tc>
          <w:tcPr>
            <w:tcW w:type="dxa" w:w="4252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shd w:val="clear" w:color="auto" w:fill="0B2545"/>
            <w:vAlign w:val="center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  <w:color w:val="FFFFFF"/>
                <w:sz w:val="22"/>
                <w:rFonts w:ascii="맑은 고딕" w:hAnsi="맑은 고딕" w:eastAsia="맑은 고딕" w:cs="맑은 고딕"/>
              </w:rPr>
              <w:t>을 (공급 받는 자)</w:t>
            </w:r>
          </w:p>
        </w:tc>
      </w:tr>
      <w:tr>
        <w:tc>
          <w:tcPr>
            <w:tcW w:type="dxa" w:w="4252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vAlign w:val="center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  <w:sz w:val="24"/>
                <w:rFonts w:ascii="맑은 고딕" w:hAnsi="맑은 고딕" w:eastAsia="맑은 고딕" w:cs="맑은 고딕"/>
              </w:rPr>
              <w:t>{{갑_회사명}}</w:t>
            </w:r>
          </w:p>
          <w:p/>
          <w:p>
            <w:pPr>
              <w:spacing w:before="40" w:after="40" w:line="312" w:lineRule="auto"/>
              <w:jc w:val="center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>대표자  {{갑_대표자}}</w:t>
            </w:r>
          </w:p>
        </w:tc>
        <w:tc>
          <w:tcPr>
            <w:tcW w:type="dxa" w:w="4252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vAlign w:val="center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  <w:sz w:val="24"/>
                <w:rFonts w:ascii="맑은 고딕" w:hAnsi="맑은 고딕" w:eastAsia="맑은 고딕" w:cs="맑은 고딕"/>
              </w:rPr>
              <w:t>{{을_회사명}}</w:t>
            </w:r>
          </w:p>
          <w:p/>
          <w:p>
            <w:pPr>
              <w:spacing w:before="40" w:after="40" w:line="312" w:lineRule="auto"/>
              <w:jc w:val="center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>대표자  {{을_대표자}}</w:t>
            </w:r>
          </w:p>
        </w:tc>
      </w:tr>
    </w:tbl>
    <w:p>
      <w:pPr>
        <w:spacing w:lineRule="auto" w:line="360" w:before="0" w:after="360"/>
      </w:pPr>
    </w:p>
    <w:p>
      <w:pPr>
        <w:spacing w:lineRule="auto" w:line="360" w:before="0" w:after="80"/>
        <w:jc w:val="center"/>
      </w:pPr>
      <w:r>
        <w:rPr>
          <w:b w:val="0"/>
          <w:color w:val="13315C"/>
          <w:sz w:val="22"/>
          <w:rFonts w:ascii="맑은 고딕" w:hAnsi="맑은 고딕" w:eastAsia="맑은 고딕" w:cs="맑은 고딕"/>
        </w:rPr>
        <w:t>체결일  {{계약체결일}}</w:t>
      </w:r>
    </w:p>
    <w:p>
      <w:pPr>
        <w:spacing w:lineRule="auto" w:line="360" w:before="0" w:after="480"/>
        <w:jc w:val="center"/>
      </w:pPr>
      <w:r>
        <w:rPr>
          <w:b w:val="0"/>
          <w:color w:val="595959"/>
          <w:sz w:val="21"/>
          <w:rFonts w:ascii="맑은 고딕" w:hAnsi="맑은 고딕" w:eastAsia="맑은 고딕" w:cs="맑은 고딕"/>
        </w:rPr>
        <w:t>효력 개시일  {{계약시작일}}    계약기간  {{계약기간}}</w:t>
      </w:r>
    </w:p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spacing w:lineRule="auto" w:line="240" w:before="0" w:after="0"/>
      </w:pPr>
    </w:p>
    <w:p>
      <w:pPr>
        <w:pBdr>
          <w:bottom w:val="single" w:sz="4" w:space="1" w:color="BFBFBF"/>
        </w:pBdr>
      </w:pPr>
    </w:p>
    <w:p>
      <w:pPr>
        <w:spacing w:lineRule="auto" w:line="360" w:before="0" w:after="0"/>
        <w:jc w:val="center"/>
      </w:pPr>
      <w:r>
        <w:rPr>
          <w:b w:val="0"/>
          <w:color w:val="595959"/>
          <w:sz w:val="18"/>
          <w:rFonts w:ascii="맑은 고딕" w:hAnsi="맑은 고딕" w:eastAsia="맑은 고딕" w:cs="맑은 고딕"/>
        </w:rPr>
        <w:t>문서코드  MD-CT-DSA-DOM-T-001  |  버전 v1.0  |  본 계약서는 주식회사 맨데이터의 표준 양식입니다.</w:t>
      </w:r>
    </w:p>
    <w:p>
      <w:r>
        <w:br w:type="page"/>
      </w:r>
    </w:p>
    <w:p>
      <w:pPr>
        <w:spacing w:lineRule="auto" w:line="360" w:before="0" w:after="280"/>
        <w:jc w:val="center"/>
      </w:pPr>
      <w:r>
        <w:rPr>
          <w:b/>
          <w:color w:val="0B2545"/>
          <w:sz w:val="36"/>
          <w:rFonts w:ascii="맑은 고딕" w:hAnsi="맑은 고딕" w:eastAsia="맑은 고딕" w:cs="맑은 고딕"/>
        </w:rPr>
        <w:t>목  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전문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1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제1조 (목적)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1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제2조 (정의)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1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제3조 (계약의 대상 및 공급 범위)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2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제4조 (데이터의 공급 방법 및 갱신)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2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제5조 (데이터 이용권의 부여)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2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제6조 (재공급 및 제3자 제공)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3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제7조 (대가 및 정산)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3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제8조 (지식재산권)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3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제9조 (개인정보 및 가명정보의 처리)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4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제10조 (데이터의 품질 및 보증)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4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제11조 (보안 및 기술적·관리적 조치)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4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제12조 (비밀유지)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5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제13조 (계약기간 및 갱신)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5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제14조 (해지)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5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제15조 (계약 종료의 효과)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6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제16조 (손해배상 및 책임의 제한)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6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제17조 (불가항력)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6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제18조 (권리·의무의 양도금지)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7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제19조 (통지)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7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제20조 (분쟁해결 및 관할)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7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제21조 (기타)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7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서명란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8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별첨1. 데이터 공급 사양서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9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별첨2. 정산 및 대가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10</w:t>
            </w:r>
          </w:p>
        </w:tc>
      </w:tr>
      <w:tr>
        <w:tc>
          <w:tcPr>
            <w:tcW w:type="dxa" w:w="7937"/>
          </w:tcPr>
          <w:p>
            <w:pPr>
              <w:spacing w:after="40" w:line="336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별첨3. 개인정보 및 보안 부속서</w:t>
            </w:r>
          </w:p>
        </w:tc>
        <w:tc>
          <w:tcPr>
            <w:tcW w:type="dxa" w:w="1134"/>
          </w:tcPr>
          <w:p>
            <w:pPr>
              <w:spacing w:after="40" w:line="336" w:lineRule="auto"/>
              <w:jc w:val="right"/>
            </w:pPr>
            <w:r>
              <w:rPr>
                <w:b w:val="0"/>
                <w:color w:val="595959"/>
                <w:sz w:val="21"/>
                <w:rFonts w:ascii="맑은 고딕" w:hAnsi="맑은 고딕" w:eastAsia="맑은 고딕" w:cs="맑은 고딕"/>
              </w:rPr>
              <w:t>11</w:t>
            </w:r>
          </w:p>
        </w:tc>
      </w:tr>
    </w:tbl>
    <w:p>
      <w:r>
        <w:br w:type="page"/>
      </w:r>
    </w:p>
    <w:p>
      <w:pPr>
        <w:spacing w:lineRule="auto" w:line="360" w:before="0" w:after="200"/>
        <w:jc w:val="center"/>
      </w:pPr>
      <w:r>
        <w:rPr>
          <w:b/>
          <w:color w:val="0B2545"/>
          <w:sz w:val="28"/>
          <w:rFonts w:ascii="맑은 고딕" w:hAnsi="맑은 고딕" w:eastAsia="맑은 고딕" w:cs="맑은 고딕"/>
        </w:rPr>
        <w:t>전  문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{{을_회사명}}(이하 "을"이라 한다)과 {{갑_회사명}}(이하 "갑"이라 한다)은, 갑이 적법하게 수집·보유하는 데이터를 을이 글로벌 고객에 대한 데이터 분석·인사이트 상품 제공 및 AI·통계 모델 개발 등에 활용하기 위하여, 갑이 을에게 해당 데이터를 공급함에 있어 양 당사자 간의 권리·의무 등 제반 사항을 정함을 목적으로 다음과 같이 데이터 공급 계약(이하 "본 계약"이라 한다)을 체결한다.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(목적)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본 계약은 갑이 수집·보유하는 데이터를 을에게 공급하고, 을이 이를 활용하여 글로벌 고객에 대한 데이터 분석·인사이트 상품의 제공, AI·통계 모델의 개발 및 운영, 기타 부수적 사업을 영위하기 위한 양 당사자의 권리·의무 등 제반 사항을 정함을 목적으로 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제2조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(정의)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본 계약에서 사용하는 용어의 정의는 다음과 같다.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1. "데이터"라 함은 별첨1 「데이터 공급 사양서」에서 정한, 갑이 을에게 공급하는 일체의 데이터셋, 그 갱신본 및 추가 공급분을 말한다.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2. "원본 데이터"라 함은 갑이 가공·집계·결합 등 처리를 거치지 아니하고 공급하는 원천 상태의 데이터를 말한다.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3. "가명정보"라 함은 「개인정보 보호법」및 「신용정보의 이용 및 보호에 관한 법률」에서 정한 가명정보를 말한다.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4. "익명정보"라 함은 시간·비용·기술 등을 합리적으로 고려할 때 다른 정보를 사용하여도 더 이상 개인을 알아볼 수 없도록 처리된 정보를 말한다.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5. "파생물"이라 함은 데이터의 가공·집계·결합·통계분석·AI/기계학습 등의 결과로 생성되는 일체의 자료, 모델, 보고서, 인사이트 및 그 출력물을 말한다.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6. "재공급"이라 함은 을이 데이터 또는 파생물을 제3자에게 제공·판매·라이선스·재라이선스하는 일체의 행위를 말한다.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7. "글로벌 고객"이라 함은 을이 데이터 또는 파생물을 공급·판매하는 일체의 제3자를 말하며, 대한민국 외 지역에 본점을 둔 자를 포함한다.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8. "보안사고"라 함은 데이터의 무단 접근·유출·변조·훼손 또는 정보시스템의 침해 등 데이터의 기밀성·무결성·가용성을 침해하거나 침해할 우려가 있는 일체의 사건을 말한다.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제3조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(계약의 대상 및 공급 범위)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본 계약에 따라 갑이 을에게 공급하는 데이터의 명칭, 항목, 기간, 형식 및 공급 방식은 별첨1 「데이터 공급 사양서」에서 정한 바에 따른다.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별첨1의 변경은 양 당사자의 서면 합의에 의하여만 효력을 가진다. 다만, 갑은 데이터의 스키마(구조), 항목, 갱신주기 등 사양 변경이 필요한 경우 변경 예정일로부터 별첨1에서 정한 기간 전까지 을에게 서면(이메일을 포함한다. 이하 같다)으로 통지하여야 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제4조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(데이터의 공급 방법 및 갱신)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갑은 별첨1에서 정한 전달 채널, 형식 및 갱신주기에 따라 데이터를 을에게 공급한다.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을은 데이터 수령 후 별첨1에서 정한 기한 내에 수령 및 이상 유무를 확인하여 갑에게 통지하여야 하며, 위 기한 내에 통지가 없는 경우 정상 수령된 것으로 본다.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데이터의 결함 또는 누락이 확인된 경우, 갑은 합리적 기간 내에 무상으로 보정 또는 재공급한다.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제5조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(데이터 이용권의 부여)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갑은 을에게 본 계약기간 동안 별첨1에서 정한 데이터를 다음 각 호의 목적으로 이용할 수 있는 권한을 부여한다.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1. 글로벌 고객 대상 데이터 분석·인사이트·리서치 상품의 제공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2. 통계·집계 처리 및 가명·익명 처리를 포함한 데이터의 가공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3. AI/기계학습 모델의 학습·검증·운영 및 그에 부수하는 활동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4. 위 각 호 목적 달성에 필요한 일체의 부수적 활용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본 항의 이용권은 {{이용지역}}에서 행사할 수 있으며, 그 독점성은 {{독점성}}으로 한다. 독점에 관한 세부 조건은 별첨1에서 정한다.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을은 본 계약의 목적 달성에 필요한 범위 내에서 자회사 및 위탁 처리 업체로 하여금 데이터를 이용하게 할 수 있으며, 이 경우 을은 해당 자회사·업체에 본 계약과 동등 수준 이상의 의무를 부과하고 그 이행에 대하여 갑에 대하여 책임을 진다.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제6조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(재공급 및 제3자 제공)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을은 글로벌 고객에 대하여 데이터 및 파생물을 재공급할 수 있다. 재공급의 허용 범위는 별첨1에서 정한 「{{재공급_허용여부}}」에 따른다.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을은 재공급 시 별첨3에서 정한 보안·개인정보 보호 의무를 글로벌 고객에 대하여 동등 수준 이상으로 부과하여야 하며, 글로벌 고객 계약에 재식별 시도 금지 조항을 포함시켜야 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을은 갑이 사전에 서면으로 지정한 경쟁 사업자 및 「대외무역법」, OFAC, EU, UN 등 국제적 제재 대상자에 대하여는 데이터 및 파생물을 재공급하지 아니한다.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④ 데이터의 출처는 별첨1에서 정한 방식으로 표기한다. 갑의 상표·상호의 사용은 별첨1에서 별도로 정한 바에 따른다.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제7조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(대가 및 정산)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본 계약에 따른 데이터 공급의 대가, 정산주기, 지급방법, 지연이자율 및 정산 감사에 관한 사항은 별첨2 「정산 및 대가」에서 정한 바에 따른다.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본 계약상 모든 금액은 부가가치세를 별도로 한다. 다만, 별첨2에서 달리 정한 경우에는 그에 따른다.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정산금에 분쟁이 있는 경우, 분쟁 부분을 제외한 금액을 우선 지급하고, 양 당사자는 분쟁 해결을 위하여 성실히 협의한다.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제8조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(지식재산권)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원본 데이터에 관한 일체의 지식재산권 및 그 밖의 권리는 갑에게 귀속한다.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을이 데이터를 가공·집계·결합·분석·학습 등 처리하여 생성한 파생물에 관한 일체의 지식재산권 및 그 밖의 권리는 별첨2에서 달리 정하지 아니하는 한 「{{파생물_권리귀속}}」에 따라 귀속한다.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본 계약 또는 별첨에서 명시적으로 부여하지 아니한 권리는 각 당사자에게 유보된다.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제9조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(개인정보 및 가명정보의 처리)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갑은 「개인정보 보호법」, 「신용정보의 이용 및 보호에 관한 법률」, 「정보통신망 이용촉진 및 정보보호 등에 관한 법률」 등 관계 법령에 따라 데이터의 수집·처리 및 가명·익명처리의 적법성, 정보주체에 대한 고지·동의 이행을 책임지며, 을에게 공급하는 데이터는 별도의 명시가 없는 한 가명·익명처리가 완료된 상태로 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을 및 을이 재공급한 글로벌 고객은 어떠한 경우에도 데이터의 재식별을 시도하지 아니하며, 을은 글로벌 고객 계약에 동등한 의무를 부과한다.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가명정보의 적정성 평가, 데이터의 결합 시 결합전문기관 이용 등 관계 법령상 의무가 발생하는 경우 별첨3에서 정한 바에 따라 양 당사자가 협력한다.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④ 본 조에서 정하지 아니한 개인정보·가명정보 처리에 관한 세부 사항은 별첨3 「개인정보 및 보안 부속서」에서 정한다.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제10조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(데이터의 품질 및 보증)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갑은 공급 데이터가 별첨1에서 정한 품질기준(완전성·정확성·적시성·SLA)을 충족함을 보증한다.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데이터에 결함이 확인된 경우, 을은 발견 후 합리적 기간 내에 갑에게 서면 통지하고, 갑은 별첨1에서 정한 기한 내에 무상으로 보정 또는 재공급한다.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본 조의 보증은 법령에서 허용하는 최대 범위 내에서 본 계약에 명시된 것에 한정되며, 묵시적·명시적인 그 외 일체의 보증은 배제된다.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제11조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(보안 및 기술적·관리적 조치)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양 당사자는 별첨3에서 정한 수준의 정보보호 인증을 유지하고, 그에 상응하는 기술적·관리적·물리적 보호조치를 시행하여야 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데이터 유출, 시스템 침해 등 보안사고를 인지한 당사자는 별첨3에서 정한 시한 내에 상대방에게 통지하고 사고의 원인·범위·조치 내용을 지체 없이 공유하여야 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갑은 별첨3에서 정한 빈도와 절차에 따라 을에 대한 보안 실사 또는 인증서·SOC2 보고서 제출 요구 등의 권리를 가진다.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제12조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(비밀유지)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양 당사자는 본 계약과 관련하여 알게 된 상대방의 영업비밀, 기술, 데이터, 가격, 고객정보 등 일체의 정보(이하 "비밀정보"라 한다)를 본 계약의 목적 외의 용도로 사용하거나 제3자에게 누설하지 아니한다.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다음 각 호의 정보는 비밀정보에서 제외한다.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1. 수령 당시 이미 공지된 사실 또는 본 계약과 무관하게 이후 공지된 정보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2. 수령 전부터 정당하게 보유하고 있던 정보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3. 비밀유지의무를 부담하지 아니하는 제3자로부터 적법하게 입수한 정보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4. 비밀정보를 사용하지 아니하고 독자적으로 개발한 정보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5. 법령, 법원 또는 정부기관의 적법한 요구에 따라 공개하여야 하는 정보. 단, 이 경우 가능한 범위 내에서 사전에 상대방에게 통지한다.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본 조의 의무는 본 계약 종료 후 「{{비밀유지_기간}}」 동안 존속한다.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제13조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(계약기간 및 갱신)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본 계약의 기간은 {{계약시작일}}부터 {{계약종료일}}까지 「{{계약기간}}」으로 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계약기간 만료 「{{해지통지_시한}}」 전까지 어느 일방이 상대방에게 서면으로 계약을 갱신하지 아니한다는 의사를 통지하지 아니하는 경우, 본 계약은 동일 조건으로 「{{자동갱신_기간}}」씩 자동 연장된다. 다만 자동갱신 여부는 「{{자동갱신_여부}}」로 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제14조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(해지)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어느 일방이 본 계약상의 중대한 의무를 위반하고, 상대방이 「{{해지사유_중대위반}}」의 시정기간을 정하여 서면으로 시정을 요구하였음에도 이를 이행하지 아니한 경우, 상대방은 본 계약을 서면 통지로써 해지할 수 있다.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다음 각 호의 사유가 발생한 경우 상대방은 사전 최고 없이 본 계약을 즉시 해지할 수 있다.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1. 파산, 회생절차 개시, 영업의 폐지·정지 등으로 신뢰관계가 파괴된 경우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2. 중대한 개인정보 유출, 데이터의 불법 유통 등 본 계약의 목적 달성이 현저히 곤란한 경우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3. 그 밖에 본 계약의 목적에 반하는 중대한 사유가 발생한 경우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제15조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(계약 종료의 효과)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본 계약이 종료되는 경우, 을은 종료일로부터 별첨3에서 정한 기간 내에 갑으로부터 공급받은 원본 데이터를 파기 또는 갑에게 반환하고, 파기증명서를 갑에게 제출한다.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을이 종료일 이전에 적법하게 생성한 가명·익명 파생물, 통계·집계 결과물 및 학습이 완료된 AI/통계 모델은 종료 후에도 을이 계속하여 보유·이용할 수 있다. 다만, 별첨3에서 달리 정한 경우에는 그에 따른다.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본 계약의 종료에도 불구하고 제8조(지식재산권), 제9조(개인정보 및 가명정보의 처리), 제12조(비밀유지), 제16조(손해배상 및 책임의 제한), 제20조(분쟁해결 및 관할) 및 본 조는 그 성질상 가능한 범위에서 효력을 유지한다.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제16조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(손해배상 및 책임의 제한)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일방 당사자가 본 계약을 위반하여 상대방에게 손해를 입힌 경우, 위반한 당사자는 상대방에게 그 손해를 배상한다.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본 계약과 관련한 일방 당사자의 책임 총액은 「{{손해배상_한도}}」를 한도로 한다. 단, 다음 각 호의 경우에는 본 한도가 적용되지 아니한다.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1. 고의 또는 중과실로 인한 손해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2. 제12조(비밀유지) 위반으로 인한 손해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3. 개인정보 유출 및 관계 법령 위반으로 인한 손해</w:t>
      </w:r>
    </w:p>
    <w:p>
      <w:pPr>
        <w:spacing w:lineRule="auto" w:line="384" w:before="0" w:after="80"/>
        <w:ind w:left="34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4. 제3자의 지식재산권 침해 주장에 따른 손해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어느 일방도 일실이익, 영업기회의 상실, 명예 훼손 등 간접·특별·결과적 손해에 대하여는 책임을 지지 아니한다. 단, 제2항 각 호의 사유에 해당하는 경우에는 그러하지 아니하다.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④ 갑은 데이터 수집·처리 및 가명·익명처리의 적법성을 보장하며, 데이터의 원천에 관한 제3자의 권리 침해 또는 정보주체로부터의 청구에 대하여 을을 면책하고 합리적인 비용을 보전한다.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제17조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(불가항력)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천재지변, 전쟁, 폭동, 팬데믹, 정부의 명령·제재, 기간통신망의 광역 장애, 기타 당사자의 합리적 통제 범위를 벗어난 사유로 인하여 본 계약상 의무의 전부 또는 일부를 이행할 수 없게 된 경우, 해당 당사자는 그 범위 내에서 책임을 면한다. 다만, 해당 당사자는 그 사유의 발생 사실과 영향을 즉시 상대방에게 통지하고 영향을 최소화하기 위하여 합리적으로 노력하여야 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제18조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(권리·의무의 양도금지)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어느 당사자도 상대방의 사전 서면 동의 없이 본 계약상의 권리·의무의 전부 또는 일부를 제3자에게 양도, 이전, 담보 제공할 수 없다. 다만, 100% 지배관계에 있는 계열회사로의 조직재편(합병·분할·영업양수도 포함)에 따른 포괄승계의 경우 사전 서면 통지로써 갈음할 수 있다.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제19조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(통지)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본 계약상 통지는 본 계약서 또는 별도 서면으로 지정된 주소·이메일로의 서면 송부 또는 이메일 송신으로 행한다.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통지의 효력은 (i) 등기우편의 경우 발송일로부터 3영업일이 경과한 때, (ii) 이메일의 경우 수신자의 시스템에 도달한 때, 둘 중 빠른 때에 발생한다.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당사자 정보·통지처의 변경은 변경 발생 후 지체 없이 상대방에게 서면으로 통지하여야 하며, 통지가 이루어지지 아니한 경우 기존 정보로의 통지를 유효한 것으로 본다.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제20조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(분쟁해결 및 관할)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본 계약은 대한민국법을 준거법으로 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본 계약과 관련하여 발생하는 모든 분쟁은 양 당사자가 우선 성실히 협의하여 해결한다. 협의가 이루어지지 아니하는 경우, 그 분쟁은 「{{분쟁해결_방식}}」에 의하여 최종 해결한다.</w:t>
      </w:r>
    </w:p>
    <w:p>
      <w:pPr>
        <w:pBdr>
          <w:bottom w:val="single" w:sz="4" w:space="4" w:color="BFBFBF"/>
        </w:pBdr>
        <w:spacing w:lineRule="auto" w:line="312" w:before="280" w:after="160"/>
        <w:jc w:val="left"/>
      </w:pPr>
      <w:r>
        <w:rPr>
          <w:b/>
          <w:color w:val="0B2545"/>
          <w:sz w:val="23"/>
          <w:rFonts w:ascii="맑은 고딕" w:hAnsi="맑은 고딕" w:eastAsia="맑은 고딕" w:cs="맑은 고딕"/>
        </w:rPr>
        <w:t>제21조</w:t>
      </w:r>
      <w:r>
        <w:rPr>
          <w:b/>
          <w:color w:val="0B2545"/>
          <w:sz w:val="23"/>
          <w:rFonts w:ascii="맑은 고딕" w:hAnsi="맑은 고딕" w:eastAsia="맑은 고딕" w:cs="맑은 고딕"/>
        </w:rPr>
        <w:t xml:space="preserve"> (기타)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① 본 계약은 본 계약의 대상 사항에 관한 양 당사자 간 합의의 전부를 구성하며, 이에 반하는 종전의 일체 약정·문서·구두 합의를 대체한다.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② 본 계약의 일부 조항이 무효 또는 집행불능으로 판단되는 경우에도 나머지 조항의 효력에는 영향을 미치지 아니하며, 양 당사자는 무효 조항의 본래 취지에 가장 가까운 조항으로 대체하기 위하여 성실히 협의한다.</w:t>
      </w: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③ 본 계약에서 정하지 아니한 사항 또는 본 계약의 해석상 다툼이 있는 사항은 양 당사자가 별도의 서면 합의로 정한다.</w:t>
      </w:r>
    </w:p>
    <w:p>
      <w:pPr>
        <w:spacing w:lineRule="auto" w:line="360" w:before="0" w:after="200"/>
      </w:pPr>
    </w:p>
    <w:p>
      <w:pPr>
        <w:spacing w:lineRule="auto" w:line="384" w:before="0" w:after="80"/>
        <w:ind w:left="0" w:firstLine="0"/>
        <w:jc w:val="both"/>
      </w:pPr>
      <w:r>
        <w:rPr>
          <w:b w:val="0"/>
          <w:sz w:val="21"/>
          <w:rFonts w:ascii="맑은 고딕" w:hAnsi="맑은 고딕" w:eastAsia="맑은 고딕" w:cs="맑은 고딕"/>
        </w:rPr>
        <w:t>본 계약의 체결을 증명하기 위하여 본 계약서 2부를 작성하여 양 당사자가 각각 기명·날인한 후 1부씩 보관한다.</w:t>
      </w:r>
    </w:p>
    <w:p>
      <w:pPr>
        <w:spacing w:lineRule="auto" w:line="360" w:before="0" w:after="400"/>
      </w:pPr>
    </w:p>
    <w:p>
      <w:pPr>
        <w:spacing w:lineRule="auto" w:line="360" w:before="0" w:after="480"/>
        <w:jc w:val="center"/>
      </w:pPr>
      <w:r>
        <w:rPr>
          <w:b w:val="0"/>
          <w:sz w:val="22"/>
          <w:rFonts w:ascii="맑은 고딕" w:hAnsi="맑은 고딕" w:eastAsia="맑은 고딕" w:cs="맑은 고딕"/>
        </w:rPr>
        <w:t>{{계약체결일}}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8" w:color="0B2545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0B2545"/>
                <w:sz w:val="22"/>
                <w:rFonts w:ascii="맑은 고딕" w:hAnsi="맑은 고딕" w:eastAsia="맑은 고딕" w:cs="맑은 고딕"/>
              </w:rPr>
              <w:t>갑 (Party A)</w:t>
            </w:r>
          </w:p>
        </w:tc>
        <w:tc>
          <w:tcPr>
            <w:tcW w:type="dxa" w:w="4535"/>
            <w:tcBorders>
              <w:top w:val="single" w:sz="8" w:color="0B2545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0B2545"/>
                <w:sz w:val="22"/>
                <w:rFonts w:ascii="맑은 고딕" w:hAnsi="맑은 고딕" w:eastAsia="맑은 고딕" w:cs="맑은 고딕"/>
              </w:rPr>
              <w:t>을 (Party B)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상호  {{갑_회사명}}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상호  {{을_회사명}}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주소  {{갑_주소}}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주소  {{을_주소}}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사업자등록번호  {{갑_사업자번호}}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사업자등록번호  {{을_사업자번호}}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대표자  {{갑_대표자}}                                   (인)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대표자  {{을_대표자}}                                   (인)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single" w:sz="8" w:color="0B2545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color w:val="595959"/>
                <w:sz w:val="19"/>
                <w:rFonts w:ascii="맑은 고딕" w:hAnsi="맑은 고딕" w:eastAsia="맑은 고딕" w:cs="맑은 고딕"/>
              </w:rPr>
              <w:t>담당자  {{갑_담당자명}} | {{갑_담당자_이메일}} | {{갑_담당자_연락처}}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8" w:color="0B2545"/>
              <w:right w:val="nil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color w:val="595959"/>
                <w:sz w:val="19"/>
                <w:rFonts w:ascii="맑은 고딕" w:hAnsi="맑은 고딕" w:eastAsia="맑은 고딕" w:cs="맑은 고딕"/>
              </w:rPr>
              <w:t>담당자  {{을_담당자명}} | {{을_담당자_이메일}} | {{을_담당자_연락처}}</w:t>
            </w:r>
          </w:p>
        </w:tc>
      </w:tr>
    </w:tbl>
    <w:p>
      <w:r>
        <w:br w:type="page"/>
      </w:r>
    </w:p>
    <w:p>
      <w:pPr>
        <w:spacing w:lineRule="auto" w:line="360" w:before="0" w:after="40"/>
        <w:jc w:val="left"/>
      </w:pPr>
      <w:r>
        <w:rPr>
          <w:b/>
          <w:color w:val="595959"/>
          <w:sz w:val="24"/>
          <w:rFonts w:ascii="맑은 고딕" w:hAnsi="맑은 고딕" w:eastAsia="맑은 고딕" w:cs="맑은 고딕"/>
        </w:rPr>
        <w:t>별첨 1</w:t>
      </w:r>
    </w:p>
    <w:p>
      <w:pPr>
        <w:spacing w:lineRule="auto" w:line="360" w:before="0" w:after="240"/>
        <w:jc w:val="left"/>
      </w:pPr>
      <w:r>
        <w:rPr>
          <w:b/>
          <w:color w:val="0B2545"/>
          <w:sz w:val="36"/>
          <w:rFonts w:ascii="맑은 고딕" w:hAnsi="맑은 고딕" w:eastAsia="맑은 고딕" w:cs="맑은 고딕"/>
        </w:rPr>
        <w:t>데이터 공급 사양서  (Data Specification)</w:t>
      </w:r>
    </w:p>
    <w:p>
      <w:pPr>
        <w:pBdr>
          <w:bottom w:val="single" w:sz="10" w:space="1" w:color="0B2545"/>
        </w:pBdr>
      </w:pPr>
    </w:p>
    <w:p>
      <w:pPr>
        <w:spacing w:lineRule="auto" w:line="360" w:before="0" w:after="120"/>
      </w:pPr>
    </w:p>
    <w:p>
      <w:pPr>
        <w:spacing w:lineRule="auto" w:line="360" w:before="0" w:after="120"/>
      </w:pPr>
      <w:r>
        <w:rPr>
          <w:b/>
          <w:color w:val="0B2545"/>
          <w:sz w:val="24"/>
          <w:rFonts w:ascii="맑은 고딕" w:hAnsi="맑은 고딕" w:eastAsia="맑은 고딕" w:cs="맑은 고딕"/>
        </w:rPr>
        <w:t>1. 공급 데이터 개요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데이터셋 명칭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{{데이터_명칭}}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데이터 종류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{{데이터_종류}}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상세 설명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{{데이터_상세설명}}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주요 데이터 항목(필드)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{{데이터_항목_목록}}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공급 데이터 기간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{{데이터_기간}}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예상 데이터 규모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{{데이터_규모}}</w:t>
            </w:r>
          </w:p>
        </w:tc>
      </w:tr>
    </w:tbl>
    <w:p>
      <w:pPr>
        <w:spacing w:lineRule="auto" w:line="360" w:before="0" w:after="80"/>
      </w:pPr>
    </w:p>
    <w:p>
      <w:pPr>
        <w:spacing w:lineRule="auto" w:line="360" w:before="0" w:after="120"/>
      </w:pPr>
      <w:r>
        <w:rPr>
          <w:b/>
          <w:color w:val="0B2545"/>
          <w:sz w:val="24"/>
          <w:rFonts w:ascii="맑은 고딕" w:hAnsi="맑은 고딕" w:eastAsia="맑은 고딕" w:cs="맑은 고딕"/>
        </w:rPr>
        <w:t>2. 공급 방식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파일·데이터 포맷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{{데이터_형식}}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전달 채널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{{전달방식}}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갱신 주기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{{갱신주기}}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최초 공급일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{{최초공급일}}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을의 수령 확인 시한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{{수령확인_시한}}</w:t>
            </w:r>
          </w:p>
        </w:tc>
      </w:tr>
    </w:tbl>
    <w:p>
      <w:pPr>
        <w:spacing w:lineRule="auto" w:line="360" w:before="0" w:after="80"/>
      </w:pPr>
    </w:p>
    <w:p>
      <w:pPr>
        <w:spacing w:lineRule="auto" w:line="360" w:before="0" w:after="120"/>
      </w:pPr>
      <w:r>
        <w:rPr>
          <w:b/>
          <w:color w:val="0B2545"/>
          <w:sz w:val="24"/>
          <w:rFonts w:ascii="맑은 고딕" w:hAnsi="맑은 고딕" w:eastAsia="맑은 고딕" w:cs="맑은 고딕"/>
        </w:rPr>
        <w:t>3. 품질 기준 및 SLA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필수항목 결측률 한도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{{품질기준_완전성}}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정확성·스키마 일관성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{{품질기준_정확성}}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공급 지연 허용 한도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{{품질기준_지연}}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공급 가용성(SLA)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{{SLA_가동률}}</w:t>
            </w:r>
          </w:p>
        </w:tc>
      </w:tr>
    </w:tbl>
    <w:p>
      <w:pPr>
        <w:spacing w:lineRule="auto" w:line="360" w:before="0" w:after="80"/>
      </w:pPr>
    </w:p>
    <w:p>
      <w:pPr>
        <w:spacing w:lineRule="auto" w:line="360" w:before="0" w:after="120"/>
      </w:pPr>
      <w:r>
        <w:rPr>
          <w:b/>
          <w:color w:val="0B2545"/>
          <w:sz w:val="24"/>
          <w:rFonts w:ascii="맑은 고딕" w:hAnsi="맑은 고딕" w:eastAsia="맑은 고딕" w:cs="맑은 고딕"/>
        </w:rPr>
        <w:t>4. 이용·재공급 조건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이용 목적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{{이용목적}}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이용 지역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{{이용지역}}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독점성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{{독점성}}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독점성 상세 조건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{{독점성_상세}}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가공·집계 허용 범위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{{가공_허용범위}}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재공급 허용 여부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{{재공급_허용여부}}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재공급 가능 고객 유형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{{재공급_고객유형}}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재공급 금지 대상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{{재공급_금지대상}}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파생물 권리 귀속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{{파생물_권리귀속}}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상표·로고 사용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{{상표사용_허용}}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출처 표기 방식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{{출처표기_방식}}</w:t>
            </w:r>
          </w:p>
        </w:tc>
      </w:tr>
    </w:tbl>
    <w:p>
      <w:r>
        <w:br w:type="page"/>
      </w:r>
    </w:p>
    <w:p>
      <w:pPr>
        <w:spacing w:lineRule="auto" w:line="360" w:before="0" w:after="40"/>
        <w:jc w:val="left"/>
      </w:pPr>
      <w:r>
        <w:rPr>
          <w:b/>
          <w:color w:val="595959"/>
          <w:sz w:val="24"/>
          <w:rFonts w:ascii="맑은 고딕" w:hAnsi="맑은 고딕" w:eastAsia="맑은 고딕" w:cs="맑은 고딕"/>
        </w:rPr>
        <w:t>별첨 2</w:t>
      </w:r>
    </w:p>
    <w:p>
      <w:pPr>
        <w:spacing w:lineRule="auto" w:line="360" w:before="0" w:after="240"/>
        <w:jc w:val="left"/>
      </w:pPr>
      <w:r>
        <w:rPr>
          <w:b/>
          <w:color w:val="0B2545"/>
          <w:sz w:val="36"/>
          <w:rFonts w:ascii="맑은 고딕" w:hAnsi="맑은 고딕" w:eastAsia="맑은 고딕" w:cs="맑은 고딕"/>
        </w:rPr>
        <w:t>정산 및 대가  (Compensation &amp; Settlement)</w:t>
      </w:r>
    </w:p>
    <w:p>
      <w:pPr>
        <w:pBdr>
          <w:bottom w:val="single" w:sz="10" w:space="1" w:color="0B2545"/>
        </w:pBdr>
      </w:pPr>
    </w:p>
    <w:p>
      <w:pPr>
        <w:spacing w:lineRule="auto" w:line="360" w:before="0" w:after="120"/>
      </w:pPr>
    </w:p>
    <w:p>
      <w:pPr>
        <w:spacing w:lineRule="auto" w:line="360" w:before="0" w:after="120"/>
      </w:pPr>
      <w:r>
        <w:rPr>
          <w:b/>
          <w:color w:val="0B2545"/>
          <w:sz w:val="24"/>
          <w:rFonts w:ascii="맑은 고딕" w:hAnsi="맑은 고딕" w:eastAsia="맑은 고딕" w:cs="맑은 고딕"/>
        </w:rPr>
        <w:t>1. 과금 모델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과금 방식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{{과금방식}}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기본료(라이선스/MG)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{{기본료_금액}}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기본료 청구 주기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{{기본료_주기}}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사용량 단가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{{단가}}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갑(원천사) 배분율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{{수익배분율_갑}}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을(맨데이터) 배분율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{{수익배분율_을}}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‘수익(매출)’의 정의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{{수익_정의}}</w:t>
            </w:r>
          </w:p>
        </w:tc>
      </w:tr>
    </w:tbl>
    <w:p>
      <w:pPr>
        <w:spacing w:lineRule="auto" w:line="360" w:before="0" w:after="80"/>
      </w:pPr>
    </w:p>
    <w:p>
      <w:pPr>
        <w:spacing w:lineRule="auto" w:line="360" w:before="0" w:after="120"/>
      </w:pPr>
      <w:r>
        <w:rPr>
          <w:b/>
          <w:color w:val="0B2545"/>
          <w:sz w:val="24"/>
          <w:rFonts w:ascii="맑은 고딕" w:hAnsi="맑은 고딕" w:eastAsia="맑은 고딕" w:cs="맑은 고딕"/>
        </w:rPr>
        <w:t>2. 정산·지급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정산 주기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{{정산주기}}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정산 기준일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{{정산기준일}}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정산 리포트 제공 시한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{{리포트_제공시한}}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세금계산서 발행 시한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{{세금계산서_발행시한}}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대금 지급 시한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{{지급_시한}}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지급 지연이자율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{{지연이자율}}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부가가치세 처리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{{세금부담}}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갑 지급 계좌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{{지급계좌}}</w:t>
            </w:r>
          </w:p>
        </w:tc>
      </w:tr>
    </w:tbl>
    <w:p>
      <w:pPr>
        <w:spacing w:lineRule="auto" w:line="360" w:before="0" w:after="80"/>
      </w:pPr>
    </w:p>
    <w:p>
      <w:pPr>
        <w:spacing w:lineRule="auto" w:line="360" w:before="0" w:after="120"/>
      </w:pPr>
      <w:r>
        <w:rPr>
          <w:b/>
          <w:color w:val="0B2545"/>
          <w:sz w:val="24"/>
          <w:rFonts w:ascii="맑은 고딕" w:hAnsi="맑은 고딕" w:eastAsia="맑은 고딕" w:cs="맑은 고딕"/>
        </w:rPr>
        <w:t>3. 감사 및 검증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갑의 정산 감사권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{{감사권_보유}}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감사 빈도·조건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{{감사권_빈도}}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감사 비용 부담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{{감사_비용부담}}</w:t>
            </w:r>
          </w:p>
        </w:tc>
      </w:tr>
    </w:tbl>
    <w:p>
      <w:r>
        <w:br w:type="page"/>
      </w:r>
    </w:p>
    <w:p>
      <w:pPr>
        <w:spacing w:lineRule="auto" w:line="360" w:before="0" w:after="40"/>
        <w:jc w:val="left"/>
      </w:pPr>
      <w:r>
        <w:rPr>
          <w:b/>
          <w:color w:val="595959"/>
          <w:sz w:val="24"/>
          <w:rFonts w:ascii="맑은 고딕" w:hAnsi="맑은 고딕" w:eastAsia="맑은 고딕" w:cs="맑은 고딕"/>
        </w:rPr>
        <w:t>별첨 3</w:t>
      </w:r>
    </w:p>
    <w:p>
      <w:pPr>
        <w:spacing w:lineRule="auto" w:line="360" w:before="0" w:after="240"/>
        <w:jc w:val="left"/>
      </w:pPr>
      <w:r>
        <w:rPr>
          <w:b/>
          <w:color w:val="0B2545"/>
          <w:sz w:val="36"/>
          <w:rFonts w:ascii="맑은 고딕" w:hAnsi="맑은 고딕" w:eastAsia="맑은 고딕" w:cs="맑은 고딕"/>
        </w:rPr>
        <w:t>개인정보 및 보안 부속서  (Data Protection &amp; Security)</w:t>
      </w:r>
    </w:p>
    <w:p>
      <w:pPr>
        <w:pBdr>
          <w:bottom w:val="single" w:sz="10" w:space="1" w:color="0B2545"/>
        </w:pBdr>
      </w:pPr>
    </w:p>
    <w:p>
      <w:pPr>
        <w:spacing w:lineRule="auto" w:line="360" w:before="0" w:after="120"/>
      </w:pPr>
    </w:p>
    <w:p>
      <w:pPr>
        <w:spacing w:lineRule="auto" w:line="360" w:before="0" w:after="120"/>
      </w:pPr>
      <w:r>
        <w:rPr>
          <w:b/>
          <w:color w:val="0B2545"/>
          <w:sz w:val="24"/>
          <w:rFonts w:ascii="맑은 고딕" w:hAnsi="맑은 고딕" w:eastAsia="맑은 고딕" w:cs="맑은 고딕"/>
        </w:rPr>
        <w:t>1. 개인정보·신용정보의 처리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개인정보 포함 여부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{{개인정보_포함여부}}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신용정보 해당 여부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{{신용정보_해당}}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가명·익명처리 수행 주체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{{가명처리_책임주체}}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가명정보 적정성 평가 주체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{{적정성평가_주체}}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정보주체 동의·고지 책임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{{동의확보_책임}}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재식별 금지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{{재식별_금지}}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국외 이전 적법 근거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{{국외이전_근거}}</w:t>
            </w:r>
          </w:p>
        </w:tc>
      </w:tr>
    </w:tbl>
    <w:p>
      <w:pPr>
        <w:spacing w:lineRule="auto" w:line="360" w:before="0" w:after="80"/>
      </w:pPr>
    </w:p>
    <w:p>
      <w:pPr>
        <w:spacing w:lineRule="auto" w:line="360" w:before="0" w:after="120"/>
      </w:pPr>
      <w:r>
        <w:rPr>
          <w:b/>
          <w:color w:val="0B2545"/>
          <w:sz w:val="24"/>
          <w:rFonts w:ascii="맑은 고딕" w:hAnsi="맑은 고딕" w:eastAsia="맑은 고딕" w:cs="맑은 고딕"/>
        </w:rPr>
        <w:t>2. 보안 및 기술적·관리적 조치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보안 인증·관리체계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{{보안인증_요구수준}}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전송 구간 암호화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{{암호화_전송}}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저장 구간 암호화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{{암호화_저장}}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접근 통제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{{접근통제_방식}}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데이터 보관 위치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{{보관위치}}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데이터 보유 기간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{{보유기간}}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보안사고 통지 시한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{{사고통지_시한}}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갑의 보안 실사권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{{감사_보안실사}}</w:t>
            </w:r>
          </w:p>
        </w:tc>
      </w:tr>
    </w:tbl>
    <w:p>
      <w:pPr>
        <w:spacing w:lineRule="auto" w:line="360" w:before="0" w:after="160"/>
      </w:pPr>
    </w:p>
    <w:p>
      <w:pPr>
        <w:spacing w:lineRule="auto" w:line="360" w:before="0" w:after="120"/>
      </w:pPr>
      <w:r>
        <w:rPr>
          <w:b/>
          <w:color w:val="0B2545"/>
          <w:sz w:val="24"/>
          <w:rFonts w:ascii="맑은 고딕" w:hAnsi="맑은 고딕" w:eastAsia="맑은 고딕" w:cs="맑은 고딕"/>
        </w:rPr>
        <w:t>3. 일반 조항 변수 (본문 참조)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비밀유지 효력기간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{{비밀유지_기간}}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비밀유지 예외사항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{{비밀유지_예외}}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손해배상 책임 한도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{{손해배상_한도}}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간접·결과적 손해 배제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{{간접손해_배제}}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갑의 면책(데이터 원천 책임)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{{면책_갑}}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중대 위반 시 최고 기간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{{해지사유_중대위반}}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즉시해지 사유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{{즉시해지_사유}}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종료 시 데이터 처리 의무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{{종료시_의무}}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준거법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{{준거법}}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분쟁해결 방식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{{분쟁해결_방식}}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공식 통지 방법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{{통지방식}}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양도금지 예외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{{양도금지_예외}}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5F9"/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/>
                <w:color w:val="13315C"/>
                <w:sz w:val="21"/>
                <w:rFonts w:ascii="맑은 고딕" w:hAnsi="맑은 고딕" w:eastAsia="맑은 고딕" w:cs="맑은 고딕"/>
              </w:rPr>
              <w:t>불가항력 사유 범위</w:t>
            </w:r>
          </w:p>
        </w:tc>
        <w:tc>
          <w:tcPr>
            <w:tcW w:type="dxa" w:w="595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40" w:after="40" w:line="312" w:lineRule="auto"/>
              <w:jc w:val="left"/>
            </w:pPr>
            <w:r>
              <w:rPr>
                <w:b w:val="0"/>
                <w:sz w:val="21"/>
                <w:rFonts w:ascii="맑은 고딕" w:hAnsi="맑은 고딕" w:eastAsia="맑은 고딕" w:cs="맑은 고딕"/>
              </w:rPr>
              <w:t>{{불가항력_정의}}</w:t>
            </w:r>
          </w:p>
        </w:tc>
      </w:tr>
    </w:tbl>
    <w:p>
      <w:pPr>
        <w:spacing w:lineRule="auto" w:line="360" w:before="0" w:after="360"/>
      </w:pPr>
    </w:p>
    <w:p>
      <w:pPr>
        <w:pBdr>
          <w:bottom w:val="single" w:sz="4" w:space="1" w:color="BFBFBF"/>
        </w:pBdr>
      </w:pPr>
    </w:p>
    <w:p>
      <w:pPr>
        <w:spacing w:lineRule="auto" w:line="360" w:before="0" w:after="80"/>
        <w:jc w:val="center"/>
      </w:pPr>
      <w:r>
        <w:rPr>
          <w:b w:val="0"/>
          <w:color w:val="595959"/>
          <w:sz w:val="20"/>
          <w:rFonts w:ascii="맑은 고딕" w:hAnsi="맑은 고딕" w:eastAsia="맑은 고딕" w:cs="맑은 고딕"/>
        </w:rPr>
        <w:t>— 끝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