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008A" w14:textId="658D56F8" w:rsidR="00370664" w:rsidRDefault="00370664" w:rsidP="00370664">
      <w:pPr>
        <w:spacing w:after="0"/>
        <w:jc w:val="center"/>
        <w:rPr>
          <w:rFonts w:asciiTheme="majorHAnsi" w:hAnsiTheme="majorHAnsi" w:cstheme="majorHAnsi"/>
          <w:b/>
          <w:bCs/>
          <w:color w:val="4472C4" w:themeColor="accent1"/>
        </w:rPr>
      </w:pPr>
      <w:r w:rsidRPr="00370664">
        <w:rPr>
          <w:rFonts w:asciiTheme="majorHAnsi" w:hAnsiTheme="majorHAnsi" w:cstheme="majorHAnsi"/>
          <w:b/>
          <w:bCs/>
          <w:color w:val="4472C4" w:themeColor="accent1"/>
        </w:rPr>
        <w:t xml:space="preserve">CHURN ANALYSIS REPORT </w:t>
      </w:r>
      <w:r w:rsidR="00E4294C">
        <w:rPr>
          <w:rFonts w:asciiTheme="majorHAnsi" w:hAnsiTheme="majorHAnsi" w:cstheme="majorHAnsi"/>
          <w:b/>
          <w:bCs/>
          <w:color w:val="4472C4" w:themeColor="accent1"/>
        </w:rPr>
        <w:t xml:space="preserve"> - POWER BI</w:t>
      </w:r>
    </w:p>
    <w:p w14:paraId="535B752B" w14:textId="16ECA07B" w:rsidR="00130307" w:rsidRPr="00370664" w:rsidRDefault="00130307" w:rsidP="00130307">
      <w:pPr>
        <w:spacing w:after="0"/>
        <w:rPr>
          <w:rFonts w:asciiTheme="majorHAnsi" w:hAnsiTheme="majorHAnsi" w:cstheme="majorHAnsi"/>
          <w:color w:val="4472C4" w:themeColor="accent1"/>
        </w:rPr>
      </w:pPr>
      <w:r>
        <w:rPr>
          <w:rFonts w:asciiTheme="majorHAnsi" w:hAnsiTheme="majorHAnsi" w:cstheme="majorHAnsi"/>
          <w:color w:val="4472C4" w:themeColor="accent1"/>
        </w:rPr>
        <w:t xml:space="preserve">Project </w:t>
      </w:r>
      <w:r w:rsidR="00E4294C">
        <w:rPr>
          <w:rFonts w:asciiTheme="majorHAnsi" w:hAnsiTheme="majorHAnsi" w:cstheme="majorHAnsi"/>
          <w:color w:val="4472C4" w:themeColor="accent1"/>
        </w:rPr>
        <w:t>Overview</w:t>
      </w:r>
      <w:r>
        <w:rPr>
          <w:rFonts w:asciiTheme="majorHAnsi" w:hAnsiTheme="majorHAnsi" w:cstheme="majorHAnsi"/>
          <w:color w:val="4472C4" w:themeColor="accent1"/>
        </w:rPr>
        <w:t>:</w:t>
      </w:r>
    </w:p>
    <w:p w14:paraId="46C690AA" w14:textId="77777777" w:rsidR="00370664" w:rsidRPr="00370664" w:rsidRDefault="00370664" w:rsidP="00370664">
      <w:pPr>
        <w:spacing w:after="0"/>
        <w:rPr>
          <w:rFonts w:asciiTheme="majorHAnsi" w:hAnsiTheme="majorHAnsi" w:cstheme="majorHAnsi"/>
        </w:rPr>
      </w:pPr>
      <w:r w:rsidRPr="00370664">
        <w:rPr>
          <w:rFonts w:asciiTheme="majorHAnsi" w:hAnsiTheme="majorHAnsi" w:cstheme="majorHAnsi"/>
        </w:rPr>
        <w:t xml:space="preserve">Customer churn remains one of the most critical challenges for subscription-based businesses, especially in competitive service industries. Every customer lost not only reduces current revenue but also increases future acquisition costs. The purpose of this analytical solution is to empower decision-makers with clear visibility into </w:t>
      </w:r>
      <w:r w:rsidRPr="00370664">
        <w:rPr>
          <w:rFonts w:asciiTheme="majorHAnsi" w:hAnsiTheme="majorHAnsi" w:cstheme="majorHAnsi"/>
          <w:b/>
          <w:bCs/>
        </w:rPr>
        <w:t>why customers leave, who is at risk, and how retention efforts can be prioritized effectively</w:t>
      </w:r>
      <w:r w:rsidRPr="00370664">
        <w:rPr>
          <w:rFonts w:asciiTheme="majorHAnsi" w:hAnsiTheme="majorHAnsi" w:cstheme="majorHAnsi"/>
        </w:rPr>
        <w:t>.</w:t>
      </w:r>
    </w:p>
    <w:p w14:paraId="4AA89E20" w14:textId="443B79D4" w:rsidR="00370664" w:rsidRDefault="00370664" w:rsidP="00370664">
      <w:pPr>
        <w:spacing w:after="0"/>
        <w:rPr>
          <w:rFonts w:asciiTheme="majorHAnsi" w:hAnsiTheme="majorHAnsi" w:cstheme="majorHAnsi"/>
          <w:b/>
          <w:bCs/>
        </w:rPr>
      </w:pPr>
      <w:r w:rsidRPr="00370664">
        <w:rPr>
          <w:rFonts w:asciiTheme="majorHAnsi" w:hAnsiTheme="majorHAnsi" w:cstheme="majorHAnsi"/>
        </w:rPr>
        <w:t>This Power BI solution translates business questions into meaningful visual insights distributed across two pages:</w:t>
      </w:r>
      <w:r w:rsidRPr="00370664">
        <w:rPr>
          <w:rFonts w:asciiTheme="majorHAnsi" w:hAnsiTheme="majorHAnsi" w:cstheme="majorHAnsi"/>
        </w:rPr>
        <w:br/>
      </w:r>
      <w:r w:rsidRPr="00370664">
        <w:rPr>
          <w:rFonts w:asciiTheme="majorHAnsi" w:hAnsiTheme="majorHAnsi" w:cstheme="majorHAnsi"/>
          <w:b/>
          <w:bCs/>
        </w:rPr>
        <w:t>Churn Analysis – Summary</w:t>
      </w:r>
      <w:r w:rsidRPr="00370664">
        <w:rPr>
          <w:rFonts w:asciiTheme="majorHAnsi" w:hAnsiTheme="majorHAnsi" w:cstheme="majorHAnsi"/>
        </w:rPr>
        <w:br/>
      </w:r>
      <w:r w:rsidRPr="00370664">
        <w:rPr>
          <w:rFonts w:asciiTheme="majorHAnsi" w:hAnsiTheme="majorHAnsi" w:cstheme="majorHAnsi"/>
          <w:b/>
          <w:bCs/>
        </w:rPr>
        <w:t>Churn Analysis – Predictions</w:t>
      </w:r>
    </w:p>
    <w:p w14:paraId="4ABD94C8" w14:textId="77777777" w:rsidR="00130307" w:rsidRPr="00370664" w:rsidRDefault="00130307" w:rsidP="00370664">
      <w:pPr>
        <w:spacing w:after="0"/>
        <w:rPr>
          <w:rFonts w:asciiTheme="majorHAnsi" w:hAnsiTheme="majorHAnsi" w:cstheme="majorHAnsi"/>
        </w:rPr>
      </w:pPr>
    </w:p>
    <w:p w14:paraId="6DE235BB" w14:textId="2BACFA34" w:rsidR="00370664" w:rsidRPr="00370664" w:rsidRDefault="00370664" w:rsidP="00370664">
      <w:pPr>
        <w:spacing w:after="0"/>
        <w:rPr>
          <w:rFonts w:asciiTheme="majorHAnsi" w:hAnsiTheme="majorHAnsi" w:cstheme="majorHAnsi"/>
        </w:rPr>
      </w:pPr>
      <w:r w:rsidRPr="00370664">
        <w:rPr>
          <w:rFonts w:asciiTheme="majorHAnsi" w:hAnsiTheme="majorHAnsi" w:cstheme="majorHAnsi"/>
        </w:rPr>
        <w:drawing>
          <wp:inline distT="0" distB="0" distL="0" distR="0" wp14:anchorId="26077382" wp14:editId="086522D9">
            <wp:extent cx="5731510" cy="3210560"/>
            <wp:effectExtent l="19050" t="19050" r="21590" b="27940"/>
            <wp:docPr id="43058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86397" name=""/>
                    <pic:cNvPicPr/>
                  </pic:nvPicPr>
                  <pic:blipFill>
                    <a:blip r:embed="rId5"/>
                    <a:stretch>
                      <a:fillRect/>
                    </a:stretch>
                  </pic:blipFill>
                  <pic:spPr>
                    <a:xfrm>
                      <a:off x="0" y="0"/>
                      <a:ext cx="5731510" cy="3210560"/>
                    </a:xfrm>
                    <a:prstGeom prst="rect">
                      <a:avLst/>
                    </a:prstGeom>
                    <a:ln w="6350">
                      <a:solidFill>
                        <a:schemeClr val="tx1"/>
                      </a:solidFill>
                    </a:ln>
                  </pic:spPr>
                </pic:pic>
              </a:graphicData>
            </a:graphic>
          </wp:inline>
        </w:drawing>
      </w:r>
    </w:p>
    <w:p w14:paraId="624F1ED3" w14:textId="77777777" w:rsidR="00370664" w:rsidRPr="00370664" w:rsidRDefault="00370664" w:rsidP="00370664">
      <w:pPr>
        <w:spacing w:after="0"/>
        <w:rPr>
          <w:rFonts w:asciiTheme="majorHAnsi" w:hAnsiTheme="majorHAnsi" w:cstheme="majorHAnsi"/>
        </w:rPr>
      </w:pPr>
    </w:p>
    <w:p w14:paraId="3F82061A" w14:textId="6116B321" w:rsidR="00370664" w:rsidRPr="00370664" w:rsidRDefault="00370664" w:rsidP="00370664">
      <w:pPr>
        <w:rPr>
          <w:rFonts w:asciiTheme="majorHAnsi" w:hAnsiTheme="majorHAnsi" w:cstheme="majorHAnsi"/>
        </w:rPr>
      </w:pPr>
      <w:r w:rsidRPr="00370664">
        <w:rPr>
          <w:rFonts w:asciiTheme="majorHAnsi" w:hAnsiTheme="majorHAnsi" w:cstheme="majorHAnsi"/>
        </w:rPr>
        <w:t xml:space="preserve">The </w:t>
      </w:r>
      <w:r w:rsidR="00130307">
        <w:rPr>
          <w:rFonts w:asciiTheme="majorHAnsi" w:hAnsiTheme="majorHAnsi" w:cstheme="majorHAnsi"/>
        </w:rPr>
        <w:t>summary</w:t>
      </w:r>
      <w:r w:rsidRPr="00370664">
        <w:rPr>
          <w:rFonts w:asciiTheme="majorHAnsi" w:hAnsiTheme="majorHAnsi" w:cstheme="majorHAnsi"/>
        </w:rPr>
        <w:t xml:space="preserve"> page provides a comprehensive overview of customer health and churn patterns. It helps business stakeholders understand what is happening and where losses are occurring.</w:t>
      </w:r>
    </w:p>
    <w:p w14:paraId="219703AC" w14:textId="7EBB2D2D" w:rsidR="00370664" w:rsidRPr="00370664" w:rsidRDefault="00370664" w:rsidP="00370664">
      <w:pPr>
        <w:rPr>
          <w:rFonts w:asciiTheme="majorHAnsi" w:hAnsiTheme="majorHAnsi" w:cstheme="majorHAnsi"/>
          <w:b/>
          <w:bCs/>
        </w:rPr>
      </w:pPr>
      <w:r w:rsidRPr="00370664">
        <w:rPr>
          <w:rFonts w:asciiTheme="majorHAnsi" w:hAnsiTheme="majorHAnsi" w:cstheme="majorHAnsi"/>
          <w:b/>
          <w:bCs/>
        </w:rPr>
        <w:t>Key Highlights</w:t>
      </w:r>
    </w:p>
    <w:p w14:paraId="3974B17B" w14:textId="5165FEE9" w:rsidR="00370664" w:rsidRPr="00370664" w:rsidRDefault="00370664" w:rsidP="00370664">
      <w:pPr>
        <w:numPr>
          <w:ilvl w:val="0"/>
          <w:numId w:val="1"/>
        </w:numPr>
        <w:spacing w:after="0"/>
        <w:rPr>
          <w:rFonts w:asciiTheme="majorHAnsi" w:hAnsiTheme="majorHAnsi" w:cstheme="majorHAnsi"/>
        </w:rPr>
      </w:pPr>
      <w:r w:rsidRPr="00370664">
        <w:rPr>
          <w:rFonts w:asciiTheme="majorHAnsi" w:hAnsiTheme="majorHAnsi" w:cstheme="majorHAnsi"/>
        </w:rPr>
        <w:t xml:space="preserve">Total Customers and Churn Rate provide </w:t>
      </w:r>
      <w:proofErr w:type="gramStart"/>
      <w:r w:rsidRPr="00370664">
        <w:rPr>
          <w:rFonts w:asciiTheme="majorHAnsi" w:hAnsiTheme="majorHAnsi" w:cstheme="majorHAnsi"/>
        </w:rPr>
        <w:t>an</w:t>
      </w:r>
      <w:proofErr w:type="gramEnd"/>
      <w:r w:rsidRPr="00370664">
        <w:rPr>
          <w:rFonts w:asciiTheme="majorHAnsi" w:hAnsiTheme="majorHAnsi" w:cstheme="majorHAnsi"/>
        </w:rPr>
        <w:t xml:space="preserve"> snapshot of overall customer base health.</w:t>
      </w:r>
    </w:p>
    <w:p w14:paraId="0072FE4D" w14:textId="2BFE2F36" w:rsidR="00130307" w:rsidRPr="00370664" w:rsidRDefault="00370664" w:rsidP="00130307">
      <w:pPr>
        <w:numPr>
          <w:ilvl w:val="0"/>
          <w:numId w:val="1"/>
        </w:numPr>
        <w:rPr>
          <w:rFonts w:asciiTheme="majorHAnsi" w:hAnsiTheme="majorHAnsi" w:cstheme="majorHAnsi"/>
        </w:rPr>
      </w:pPr>
      <w:r w:rsidRPr="00370664">
        <w:rPr>
          <w:rFonts w:asciiTheme="majorHAnsi" w:hAnsiTheme="majorHAnsi" w:cstheme="majorHAnsi"/>
        </w:rPr>
        <w:t>New Joiners indicates the pace of customer acquisition.</w:t>
      </w:r>
    </w:p>
    <w:p w14:paraId="6A498091" w14:textId="25C56C79" w:rsidR="00370664" w:rsidRPr="00370664" w:rsidRDefault="00370664" w:rsidP="00130307">
      <w:pPr>
        <w:rPr>
          <w:rFonts w:asciiTheme="majorHAnsi" w:hAnsiTheme="majorHAnsi" w:cstheme="majorHAnsi"/>
          <w:b/>
          <w:bCs/>
        </w:rPr>
      </w:pPr>
      <w:r w:rsidRPr="00370664">
        <w:rPr>
          <w:rFonts w:asciiTheme="majorHAnsi" w:hAnsiTheme="majorHAnsi" w:cstheme="majorHAnsi"/>
          <w:b/>
          <w:bCs/>
        </w:rPr>
        <w:t>Churn Breakdown Insights</w:t>
      </w:r>
    </w:p>
    <w:tbl>
      <w:tblPr>
        <w:tblStyle w:val="TableGridLight"/>
        <w:tblW w:w="0" w:type="auto"/>
        <w:tblLook w:val="04A0" w:firstRow="1" w:lastRow="0" w:firstColumn="1" w:lastColumn="0" w:noHBand="0" w:noVBand="1"/>
      </w:tblPr>
      <w:tblGrid>
        <w:gridCol w:w="2140"/>
        <w:gridCol w:w="6876"/>
      </w:tblGrid>
      <w:tr w:rsidR="00370664" w:rsidRPr="00370664" w14:paraId="634C3E24" w14:textId="77777777" w:rsidTr="00130307">
        <w:tc>
          <w:tcPr>
            <w:tcW w:w="0" w:type="auto"/>
            <w:hideMark/>
          </w:tcPr>
          <w:p w14:paraId="20D63868" w14:textId="77777777" w:rsidR="00370664" w:rsidRPr="00370664" w:rsidRDefault="00370664" w:rsidP="00370664">
            <w:pPr>
              <w:spacing w:line="278" w:lineRule="auto"/>
              <w:rPr>
                <w:rFonts w:asciiTheme="majorHAnsi" w:hAnsiTheme="majorHAnsi" w:cstheme="majorHAnsi"/>
                <w:b/>
                <w:bCs/>
              </w:rPr>
            </w:pPr>
            <w:r w:rsidRPr="00370664">
              <w:rPr>
                <w:rFonts w:asciiTheme="majorHAnsi" w:hAnsiTheme="majorHAnsi" w:cstheme="majorHAnsi"/>
                <w:b/>
                <w:bCs/>
              </w:rPr>
              <w:t>Analytical View</w:t>
            </w:r>
          </w:p>
        </w:tc>
        <w:tc>
          <w:tcPr>
            <w:tcW w:w="0" w:type="auto"/>
            <w:hideMark/>
          </w:tcPr>
          <w:p w14:paraId="553EBFAD" w14:textId="77777777" w:rsidR="00370664" w:rsidRPr="00370664" w:rsidRDefault="00370664" w:rsidP="00370664">
            <w:pPr>
              <w:spacing w:line="278" w:lineRule="auto"/>
              <w:rPr>
                <w:rFonts w:asciiTheme="majorHAnsi" w:hAnsiTheme="majorHAnsi" w:cstheme="majorHAnsi"/>
                <w:b/>
                <w:bCs/>
              </w:rPr>
            </w:pPr>
            <w:r w:rsidRPr="00370664">
              <w:rPr>
                <w:rFonts w:asciiTheme="majorHAnsi" w:hAnsiTheme="majorHAnsi" w:cstheme="majorHAnsi"/>
                <w:b/>
                <w:bCs/>
              </w:rPr>
              <w:t>Business Understanding</w:t>
            </w:r>
          </w:p>
        </w:tc>
      </w:tr>
      <w:tr w:rsidR="00370664" w:rsidRPr="00370664" w14:paraId="67AD138A" w14:textId="77777777" w:rsidTr="00130307">
        <w:tc>
          <w:tcPr>
            <w:tcW w:w="0" w:type="auto"/>
            <w:hideMark/>
          </w:tcPr>
          <w:p w14:paraId="7EF8D34D"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b/>
                <w:bCs/>
              </w:rPr>
              <w:t>Gender</w:t>
            </w:r>
          </w:p>
        </w:tc>
        <w:tc>
          <w:tcPr>
            <w:tcW w:w="0" w:type="auto"/>
            <w:hideMark/>
          </w:tcPr>
          <w:p w14:paraId="2ACF2437"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Identifies whether churn behavior is skewed by male or female customer groups</w:t>
            </w:r>
          </w:p>
        </w:tc>
      </w:tr>
      <w:tr w:rsidR="00370664" w:rsidRPr="00370664" w14:paraId="704BA514" w14:textId="77777777" w:rsidTr="00130307">
        <w:tc>
          <w:tcPr>
            <w:tcW w:w="0" w:type="auto"/>
            <w:hideMark/>
          </w:tcPr>
          <w:p w14:paraId="75D392DC"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b/>
                <w:bCs/>
              </w:rPr>
              <w:lastRenderedPageBreak/>
              <w:t>Age Group</w:t>
            </w:r>
          </w:p>
        </w:tc>
        <w:tc>
          <w:tcPr>
            <w:tcW w:w="0" w:type="auto"/>
            <w:hideMark/>
          </w:tcPr>
          <w:p w14:paraId="50B5FA2E"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Helps design targeted retention communication based on customer life-stage</w:t>
            </w:r>
          </w:p>
        </w:tc>
      </w:tr>
      <w:tr w:rsidR="00370664" w:rsidRPr="00370664" w14:paraId="587A0DE9" w14:textId="77777777" w:rsidTr="00130307">
        <w:tc>
          <w:tcPr>
            <w:tcW w:w="0" w:type="auto"/>
            <w:hideMark/>
          </w:tcPr>
          <w:p w14:paraId="2108DF76"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b/>
                <w:bCs/>
              </w:rPr>
              <w:t>Contract Type</w:t>
            </w:r>
          </w:p>
        </w:tc>
        <w:tc>
          <w:tcPr>
            <w:tcW w:w="0" w:type="auto"/>
            <w:hideMark/>
          </w:tcPr>
          <w:p w14:paraId="6C717A9F"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Reveals if short-term commitments correlate with churn risk</w:t>
            </w:r>
          </w:p>
        </w:tc>
      </w:tr>
      <w:tr w:rsidR="00370664" w:rsidRPr="00370664" w14:paraId="16AA341F" w14:textId="77777777" w:rsidTr="00130307">
        <w:tc>
          <w:tcPr>
            <w:tcW w:w="0" w:type="auto"/>
            <w:hideMark/>
          </w:tcPr>
          <w:p w14:paraId="5D749010"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b/>
                <w:bCs/>
              </w:rPr>
              <w:t>Payment Method</w:t>
            </w:r>
          </w:p>
        </w:tc>
        <w:tc>
          <w:tcPr>
            <w:tcW w:w="0" w:type="auto"/>
            <w:hideMark/>
          </w:tcPr>
          <w:p w14:paraId="5BC7AFA5"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Indicates whether certain modes (e.g., credit card, mailed check) contribute to drop-offs</w:t>
            </w:r>
          </w:p>
        </w:tc>
      </w:tr>
      <w:tr w:rsidR="00370664" w:rsidRPr="00370664" w14:paraId="57B40199" w14:textId="77777777" w:rsidTr="00130307">
        <w:tc>
          <w:tcPr>
            <w:tcW w:w="0" w:type="auto"/>
            <w:hideMark/>
          </w:tcPr>
          <w:p w14:paraId="1A9E4150"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b/>
                <w:bCs/>
              </w:rPr>
              <w:t>Tenure Group</w:t>
            </w:r>
          </w:p>
        </w:tc>
        <w:tc>
          <w:tcPr>
            <w:tcW w:w="0" w:type="auto"/>
            <w:hideMark/>
          </w:tcPr>
          <w:p w14:paraId="443C4871"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Shows whether early-cycle customers are more vulnerable than long-term ones</w:t>
            </w:r>
          </w:p>
        </w:tc>
      </w:tr>
      <w:tr w:rsidR="00370664" w:rsidRPr="00370664" w14:paraId="3C48ED45" w14:textId="77777777" w:rsidTr="00130307">
        <w:tc>
          <w:tcPr>
            <w:tcW w:w="0" w:type="auto"/>
            <w:hideMark/>
          </w:tcPr>
          <w:p w14:paraId="2FAE2FA9"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b/>
                <w:bCs/>
              </w:rPr>
              <w:t>Geography (Top States)</w:t>
            </w:r>
          </w:p>
        </w:tc>
        <w:tc>
          <w:tcPr>
            <w:tcW w:w="0" w:type="auto"/>
            <w:hideMark/>
          </w:tcPr>
          <w:p w14:paraId="48674182"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Highlights regions requiring additional support or service improvements</w:t>
            </w:r>
          </w:p>
        </w:tc>
      </w:tr>
      <w:tr w:rsidR="00370664" w:rsidRPr="00370664" w14:paraId="7DA630F4" w14:textId="77777777" w:rsidTr="00130307">
        <w:tc>
          <w:tcPr>
            <w:tcW w:w="0" w:type="auto"/>
            <w:hideMark/>
          </w:tcPr>
          <w:p w14:paraId="54C35020"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b/>
                <w:bCs/>
              </w:rPr>
              <w:t>Services Opted</w:t>
            </w:r>
          </w:p>
        </w:tc>
        <w:tc>
          <w:tcPr>
            <w:tcW w:w="0" w:type="auto"/>
            <w:hideMark/>
          </w:tcPr>
          <w:p w14:paraId="63E5B038"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Correlates service combinations with churn trends to identify pain points</w:t>
            </w:r>
          </w:p>
        </w:tc>
      </w:tr>
    </w:tbl>
    <w:p w14:paraId="4AB4BD12" w14:textId="77777777" w:rsidR="00130307" w:rsidRDefault="00130307" w:rsidP="00370664">
      <w:pPr>
        <w:spacing w:after="0"/>
        <w:rPr>
          <w:rFonts w:asciiTheme="majorHAnsi" w:hAnsiTheme="majorHAnsi" w:cstheme="majorHAnsi"/>
        </w:rPr>
      </w:pPr>
    </w:p>
    <w:p w14:paraId="6BB0EDF5" w14:textId="506EEE31" w:rsidR="00370664" w:rsidRPr="00370664" w:rsidRDefault="00370664" w:rsidP="00370664">
      <w:pPr>
        <w:spacing w:after="0"/>
        <w:rPr>
          <w:rFonts w:asciiTheme="majorHAnsi" w:hAnsiTheme="majorHAnsi" w:cstheme="majorHAnsi"/>
        </w:rPr>
      </w:pPr>
      <w:r w:rsidRPr="00370664">
        <w:rPr>
          <w:rFonts w:asciiTheme="majorHAnsi" w:hAnsiTheme="majorHAnsi" w:cstheme="majorHAnsi"/>
        </w:rPr>
        <w:t>Together, these views enable the business to diagnose churn drivers and prioritize corrective actions with evidence rather than assumptions.</w:t>
      </w:r>
    </w:p>
    <w:p w14:paraId="0C89F47C" w14:textId="77777777" w:rsidR="00130307" w:rsidRDefault="00130307" w:rsidP="00370664">
      <w:pPr>
        <w:spacing w:after="0"/>
        <w:rPr>
          <w:rFonts w:asciiTheme="majorHAnsi" w:hAnsiTheme="majorHAnsi" w:cstheme="majorHAnsi"/>
        </w:rPr>
      </w:pPr>
    </w:p>
    <w:p w14:paraId="5D4851F7" w14:textId="2A2FF2FF" w:rsidR="00370664" w:rsidRDefault="00370664" w:rsidP="00370664">
      <w:pPr>
        <w:spacing w:after="0"/>
        <w:rPr>
          <w:rFonts w:asciiTheme="majorHAnsi" w:hAnsiTheme="majorHAnsi" w:cstheme="majorHAnsi"/>
          <w:b/>
          <w:bCs/>
        </w:rPr>
      </w:pPr>
      <w:r w:rsidRPr="00370664">
        <w:rPr>
          <w:rFonts w:asciiTheme="majorHAnsi" w:hAnsiTheme="majorHAnsi" w:cstheme="majorHAnsi"/>
          <w:b/>
          <w:bCs/>
        </w:rPr>
        <w:t>CHURN ANALYSIS: PREDICTION VIEW</w:t>
      </w:r>
    </w:p>
    <w:p w14:paraId="4F0D9338" w14:textId="77777777" w:rsidR="00130307" w:rsidRDefault="00130307" w:rsidP="00370664">
      <w:pPr>
        <w:spacing w:after="0"/>
        <w:rPr>
          <w:rFonts w:asciiTheme="majorHAnsi" w:hAnsiTheme="majorHAnsi" w:cstheme="majorHAnsi"/>
          <w:b/>
          <w:bCs/>
        </w:rPr>
      </w:pPr>
    </w:p>
    <w:p w14:paraId="591B3169" w14:textId="3FC1F4FC" w:rsidR="00130307" w:rsidRDefault="00130307" w:rsidP="00370664">
      <w:pPr>
        <w:spacing w:after="0"/>
        <w:rPr>
          <w:rFonts w:asciiTheme="majorHAnsi" w:hAnsiTheme="majorHAnsi" w:cstheme="majorHAnsi"/>
          <w:b/>
          <w:bCs/>
        </w:rPr>
      </w:pPr>
      <w:r w:rsidRPr="00130307">
        <w:rPr>
          <w:rFonts w:asciiTheme="majorHAnsi" w:hAnsiTheme="majorHAnsi" w:cstheme="majorHAnsi"/>
          <w:b/>
          <w:bCs/>
        </w:rPr>
        <w:drawing>
          <wp:inline distT="0" distB="0" distL="0" distR="0" wp14:anchorId="0EE042AA" wp14:editId="59D5AD02">
            <wp:extent cx="5687060" cy="3163629"/>
            <wp:effectExtent l="19050" t="19050" r="27940" b="17780"/>
            <wp:docPr id="184381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18736" name=""/>
                    <pic:cNvPicPr/>
                  </pic:nvPicPr>
                  <pic:blipFill rotWithShape="1">
                    <a:blip r:embed="rId6"/>
                    <a:srcRect l="-1" r="775" b="2292"/>
                    <a:stretch>
                      <a:fillRect/>
                    </a:stretch>
                  </pic:blipFill>
                  <pic:spPr bwMode="auto">
                    <a:xfrm>
                      <a:off x="0" y="0"/>
                      <a:ext cx="5687090" cy="3163646"/>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F1653B" w14:textId="77777777" w:rsidR="00130307" w:rsidRPr="00370664" w:rsidRDefault="00130307" w:rsidP="00370664">
      <w:pPr>
        <w:spacing w:after="0"/>
        <w:rPr>
          <w:rFonts w:asciiTheme="majorHAnsi" w:hAnsiTheme="majorHAnsi" w:cstheme="majorHAnsi"/>
          <w:b/>
          <w:bCs/>
        </w:rPr>
      </w:pPr>
    </w:p>
    <w:p w14:paraId="3A7D568F" w14:textId="7EC5735A" w:rsidR="00370664" w:rsidRPr="00370664" w:rsidRDefault="00370664" w:rsidP="00370664">
      <w:pPr>
        <w:spacing w:after="0"/>
        <w:rPr>
          <w:rFonts w:asciiTheme="majorHAnsi" w:hAnsiTheme="majorHAnsi" w:cstheme="majorHAnsi"/>
        </w:rPr>
      </w:pPr>
      <w:r w:rsidRPr="00370664">
        <w:rPr>
          <w:rFonts w:asciiTheme="majorHAnsi" w:hAnsiTheme="majorHAnsi" w:cstheme="majorHAnsi"/>
        </w:rPr>
        <w:t>Th</w:t>
      </w:r>
      <w:r w:rsidR="00130307">
        <w:rPr>
          <w:rFonts w:asciiTheme="majorHAnsi" w:hAnsiTheme="majorHAnsi" w:cstheme="majorHAnsi"/>
        </w:rPr>
        <w:t xml:space="preserve">is </w:t>
      </w:r>
      <w:r w:rsidRPr="00370664">
        <w:rPr>
          <w:rFonts w:asciiTheme="majorHAnsi" w:hAnsiTheme="majorHAnsi" w:cstheme="majorHAnsi"/>
        </w:rPr>
        <w:t xml:space="preserve">page extends the analysis by focusing on </w:t>
      </w:r>
      <w:r w:rsidRPr="00370664">
        <w:rPr>
          <w:rFonts w:asciiTheme="majorHAnsi" w:hAnsiTheme="majorHAnsi" w:cstheme="majorHAnsi"/>
          <w:b/>
          <w:bCs/>
        </w:rPr>
        <w:t>customers who are most likely to churn</w:t>
      </w:r>
      <w:r w:rsidRPr="00370664">
        <w:rPr>
          <w:rFonts w:asciiTheme="majorHAnsi" w:hAnsiTheme="majorHAnsi" w:cstheme="majorHAnsi"/>
        </w:rPr>
        <w:t>, helping the business shift from a reactive approach to a proactive one.</w:t>
      </w:r>
    </w:p>
    <w:p w14:paraId="756E8004" w14:textId="3FFCAFF3" w:rsidR="00370664" w:rsidRPr="00370664" w:rsidRDefault="00370664" w:rsidP="00370664">
      <w:pPr>
        <w:spacing w:after="0"/>
        <w:rPr>
          <w:rFonts w:asciiTheme="majorHAnsi" w:hAnsiTheme="majorHAnsi" w:cstheme="majorHAnsi"/>
          <w:b/>
          <w:bCs/>
        </w:rPr>
      </w:pPr>
      <w:r w:rsidRPr="00370664">
        <w:rPr>
          <w:rFonts w:asciiTheme="majorHAnsi" w:hAnsiTheme="majorHAnsi" w:cstheme="majorHAnsi"/>
          <w:b/>
          <w:bCs/>
        </w:rPr>
        <w:t>Key Highlights</w:t>
      </w:r>
    </w:p>
    <w:p w14:paraId="2B321204" w14:textId="77777777" w:rsidR="00370664" w:rsidRPr="00370664" w:rsidRDefault="00370664" w:rsidP="00370664">
      <w:pPr>
        <w:numPr>
          <w:ilvl w:val="0"/>
          <w:numId w:val="2"/>
        </w:numPr>
        <w:spacing w:after="0"/>
        <w:rPr>
          <w:rFonts w:asciiTheme="majorHAnsi" w:hAnsiTheme="majorHAnsi" w:cstheme="majorHAnsi"/>
        </w:rPr>
      </w:pPr>
      <w:r w:rsidRPr="00370664">
        <w:rPr>
          <w:rFonts w:asciiTheme="majorHAnsi" w:hAnsiTheme="majorHAnsi" w:cstheme="majorHAnsi"/>
          <w:b/>
          <w:bCs/>
        </w:rPr>
        <w:t>Churn-Risk Count by Gender</w:t>
      </w:r>
      <w:r w:rsidRPr="00370664">
        <w:rPr>
          <w:rFonts w:asciiTheme="majorHAnsi" w:hAnsiTheme="majorHAnsi" w:cstheme="majorHAnsi"/>
        </w:rPr>
        <w:t xml:space="preserve"> supports gender-based retention messaging.</w:t>
      </w:r>
    </w:p>
    <w:p w14:paraId="3AE9E0F8" w14:textId="77777777" w:rsidR="00370664" w:rsidRPr="00370664" w:rsidRDefault="00370664" w:rsidP="00370664">
      <w:pPr>
        <w:numPr>
          <w:ilvl w:val="0"/>
          <w:numId w:val="2"/>
        </w:numPr>
        <w:spacing w:after="0"/>
        <w:rPr>
          <w:rFonts w:asciiTheme="majorHAnsi" w:hAnsiTheme="majorHAnsi" w:cstheme="majorHAnsi"/>
        </w:rPr>
      </w:pPr>
      <w:r w:rsidRPr="00370664">
        <w:rPr>
          <w:rFonts w:asciiTheme="majorHAnsi" w:hAnsiTheme="majorHAnsi" w:cstheme="majorHAnsi"/>
          <w:b/>
          <w:bCs/>
        </w:rPr>
        <w:t>Age-Group Risk Distribution</w:t>
      </w:r>
      <w:r w:rsidRPr="00370664">
        <w:rPr>
          <w:rFonts w:asciiTheme="majorHAnsi" w:hAnsiTheme="majorHAnsi" w:cstheme="majorHAnsi"/>
        </w:rPr>
        <w:t xml:space="preserve"> allows workforce allocation on the most vulnerable life segments.</w:t>
      </w:r>
    </w:p>
    <w:p w14:paraId="396868CE" w14:textId="77777777" w:rsidR="00370664" w:rsidRPr="00370664" w:rsidRDefault="00370664" w:rsidP="00370664">
      <w:pPr>
        <w:numPr>
          <w:ilvl w:val="0"/>
          <w:numId w:val="2"/>
        </w:numPr>
        <w:spacing w:after="0"/>
        <w:rPr>
          <w:rFonts w:asciiTheme="majorHAnsi" w:hAnsiTheme="majorHAnsi" w:cstheme="majorHAnsi"/>
        </w:rPr>
      </w:pPr>
      <w:r w:rsidRPr="00370664">
        <w:rPr>
          <w:rFonts w:asciiTheme="majorHAnsi" w:hAnsiTheme="majorHAnsi" w:cstheme="majorHAnsi"/>
          <w:b/>
          <w:bCs/>
        </w:rPr>
        <w:t>Tenure-Based Risk Breakdown</w:t>
      </w:r>
      <w:r w:rsidRPr="00370664">
        <w:rPr>
          <w:rFonts w:asciiTheme="majorHAnsi" w:hAnsiTheme="majorHAnsi" w:cstheme="majorHAnsi"/>
        </w:rPr>
        <w:t xml:space="preserve"> identifies whether onboarding or long-term engagement needs attention.</w:t>
      </w:r>
    </w:p>
    <w:p w14:paraId="75897116" w14:textId="77777777" w:rsidR="00370664" w:rsidRPr="00370664" w:rsidRDefault="00370664" w:rsidP="00370664">
      <w:pPr>
        <w:numPr>
          <w:ilvl w:val="0"/>
          <w:numId w:val="2"/>
        </w:numPr>
        <w:spacing w:after="0"/>
        <w:rPr>
          <w:rFonts w:asciiTheme="majorHAnsi" w:hAnsiTheme="majorHAnsi" w:cstheme="majorHAnsi"/>
        </w:rPr>
      </w:pPr>
      <w:r w:rsidRPr="00370664">
        <w:rPr>
          <w:rFonts w:asciiTheme="majorHAnsi" w:hAnsiTheme="majorHAnsi" w:cstheme="majorHAnsi"/>
          <w:b/>
          <w:bCs/>
        </w:rPr>
        <w:lastRenderedPageBreak/>
        <w:t>Churn-Risk by State</w:t>
      </w:r>
      <w:r w:rsidRPr="00370664">
        <w:rPr>
          <w:rFonts w:asciiTheme="majorHAnsi" w:hAnsiTheme="majorHAnsi" w:cstheme="majorHAnsi"/>
        </w:rPr>
        <w:t xml:space="preserve"> directs regional managers to markets where intervention will yield maximum return.</w:t>
      </w:r>
    </w:p>
    <w:p w14:paraId="34C4596C" w14:textId="77777777" w:rsidR="00370664" w:rsidRPr="00370664" w:rsidRDefault="00370664" w:rsidP="00370664">
      <w:pPr>
        <w:numPr>
          <w:ilvl w:val="0"/>
          <w:numId w:val="2"/>
        </w:numPr>
        <w:spacing w:after="0"/>
        <w:rPr>
          <w:rFonts w:asciiTheme="majorHAnsi" w:hAnsiTheme="majorHAnsi" w:cstheme="majorHAnsi"/>
        </w:rPr>
      </w:pPr>
      <w:r w:rsidRPr="00370664">
        <w:rPr>
          <w:rFonts w:asciiTheme="majorHAnsi" w:hAnsiTheme="majorHAnsi" w:cstheme="majorHAnsi"/>
          <w:b/>
          <w:bCs/>
        </w:rPr>
        <w:t>Customer-Level Table</w:t>
      </w:r>
      <w:r w:rsidRPr="00370664">
        <w:rPr>
          <w:rFonts w:asciiTheme="majorHAnsi" w:hAnsiTheme="majorHAnsi" w:cstheme="majorHAnsi"/>
        </w:rPr>
        <w:t xml:space="preserve"> lists individual high-risk customers with details such as charges, refunds, referrals, etc., enabling direct action through CRM/Call Center Teams.</w:t>
      </w:r>
    </w:p>
    <w:p w14:paraId="22136098" w14:textId="77777777" w:rsidR="00370664" w:rsidRPr="00370664" w:rsidRDefault="00370664" w:rsidP="00370664">
      <w:pPr>
        <w:spacing w:after="0"/>
        <w:rPr>
          <w:rFonts w:asciiTheme="majorHAnsi" w:hAnsiTheme="majorHAnsi" w:cstheme="majorHAnsi"/>
          <w:b/>
          <w:bCs/>
        </w:rPr>
      </w:pPr>
    </w:p>
    <w:p w14:paraId="0AFF7C8C" w14:textId="5BF6CDD3" w:rsidR="00370664" w:rsidRPr="00370664" w:rsidRDefault="00370664" w:rsidP="00130307">
      <w:pPr>
        <w:rPr>
          <w:rFonts w:asciiTheme="majorHAnsi" w:hAnsiTheme="majorHAnsi" w:cstheme="majorHAnsi"/>
          <w:color w:val="4472C4" w:themeColor="accent1"/>
        </w:rPr>
      </w:pPr>
      <w:r w:rsidRPr="00370664">
        <w:rPr>
          <w:rFonts w:asciiTheme="majorHAnsi" w:hAnsiTheme="majorHAnsi" w:cstheme="majorHAnsi"/>
          <w:color w:val="4472C4" w:themeColor="accent1"/>
        </w:rPr>
        <w:t xml:space="preserve"> How the Business Can Use the Insights</w:t>
      </w:r>
    </w:p>
    <w:tbl>
      <w:tblPr>
        <w:tblStyle w:val="PlainTable2"/>
        <w:tblW w:w="0" w:type="auto"/>
        <w:tblLook w:val="04A0" w:firstRow="1" w:lastRow="0" w:firstColumn="1" w:lastColumn="0" w:noHBand="0" w:noVBand="1"/>
      </w:tblPr>
      <w:tblGrid>
        <w:gridCol w:w="3029"/>
        <w:gridCol w:w="5997"/>
      </w:tblGrid>
      <w:tr w:rsidR="00370664" w:rsidRPr="00370664" w14:paraId="7DA08B87" w14:textId="77777777" w:rsidTr="00130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9CE1F" w14:textId="77777777" w:rsidR="00370664" w:rsidRPr="00370664" w:rsidRDefault="00370664" w:rsidP="00130307">
            <w:pPr>
              <w:spacing w:after="160" w:line="278" w:lineRule="auto"/>
              <w:rPr>
                <w:rFonts w:asciiTheme="majorHAnsi" w:hAnsiTheme="majorHAnsi" w:cstheme="majorHAnsi"/>
              </w:rPr>
            </w:pPr>
            <w:r w:rsidRPr="00370664">
              <w:rPr>
                <w:rFonts w:asciiTheme="majorHAnsi" w:hAnsiTheme="majorHAnsi" w:cstheme="majorHAnsi"/>
              </w:rPr>
              <w:t>Business Team</w:t>
            </w:r>
          </w:p>
        </w:tc>
        <w:tc>
          <w:tcPr>
            <w:tcW w:w="0" w:type="auto"/>
            <w:hideMark/>
          </w:tcPr>
          <w:p w14:paraId="3E4524C6" w14:textId="77777777" w:rsidR="00370664" w:rsidRPr="00370664" w:rsidRDefault="00370664" w:rsidP="00130307">
            <w:pPr>
              <w:spacing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Functional Benefit</w:t>
            </w:r>
          </w:p>
        </w:tc>
      </w:tr>
      <w:tr w:rsidR="00370664" w:rsidRPr="00370664" w14:paraId="492D9DEC" w14:textId="77777777" w:rsidTr="0013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5C4D0"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Retention &amp; Customer Success</w:t>
            </w:r>
          </w:p>
        </w:tc>
        <w:tc>
          <w:tcPr>
            <w:tcW w:w="0" w:type="auto"/>
            <w:hideMark/>
          </w:tcPr>
          <w:p w14:paraId="452C2253" w14:textId="77777777" w:rsidR="00370664" w:rsidRPr="00370664" w:rsidRDefault="00370664" w:rsidP="00370664">
            <w:pPr>
              <w:spacing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Plan outreach campaigns for high-risk segments</w:t>
            </w:r>
          </w:p>
        </w:tc>
      </w:tr>
      <w:tr w:rsidR="00370664" w:rsidRPr="00370664" w14:paraId="73647F22" w14:textId="77777777" w:rsidTr="00130307">
        <w:tc>
          <w:tcPr>
            <w:cnfStyle w:val="001000000000" w:firstRow="0" w:lastRow="0" w:firstColumn="1" w:lastColumn="0" w:oddVBand="0" w:evenVBand="0" w:oddHBand="0" w:evenHBand="0" w:firstRowFirstColumn="0" w:firstRowLastColumn="0" w:lastRowFirstColumn="0" w:lastRowLastColumn="0"/>
            <w:tcW w:w="0" w:type="auto"/>
            <w:hideMark/>
          </w:tcPr>
          <w:p w14:paraId="7610436B"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Marketing</w:t>
            </w:r>
          </w:p>
        </w:tc>
        <w:tc>
          <w:tcPr>
            <w:tcW w:w="0" w:type="auto"/>
            <w:hideMark/>
          </w:tcPr>
          <w:p w14:paraId="68F75428" w14:textId="77777777" w:rsidR="00370664" w:rsidRPr="00370664" w:rsidRDefault="00370664" w:rsidP="00370664">
            <w:pPr>
              <w:spacing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Build targeted loyalty initiatives for vulnerable customer cohorts</w:t>
            </w:r>
          </w:p>
        </w:tc>
      </w:tr>
      <w:tr w:rsidR="00370664" w:rsidRPr="00370664" w14:paraId="0FF15F5C" w14:textId="77777777" w:rsidTr="0013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E3E2C"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Operations</w:t>
            </w:r>
          </w:p>
        </w:tc>
        <w:tc>
          <w:tcPr>
            <w:tcW w:w="0" w:type="auto"/>
            <w:hideMark/>
          </w:tcPr>
          <w:p w14:paraId="2D5423E2" w14:textId="77777777" w:rsidR="00370664" w:rsidRPr="00370664" w:rsidRDefault="00370664" w:rsidP="00370664">
            <w:pPr>
              <w:spacing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Improve service performance in regions/patterns linked to churn</w:t>
            </w:r>
          </w:p>
        </w:tc>
      </w:tr>
      <w:tr w:rsidR="00370664" w:rsidRPr="00370664" w14:paraId="53328422" w14:textId="77777777" w:rsidTr="00130307">
        <w:tc>
          <w:tcPr>
            <w:cnfStyle w:val="001000000000" w:firstRow="0" w:lastRow="0" w:firstColumn="1" w:lastColumn="0" w:oddVBand="0" w:evenVBand="0" w:oddHBand="0" w:evenHBand="0" w:firstRowFirstColumn="0" w:firstRowLastColumn="0" w:lastRowFirstColumn="0" w:lastRowLastColumn="0"/>
            <w:tcW w:w="0" w:type="auto"/>
            <w:hideMark/>
          </w:tcPr>
          <w:p w14:paraId="39E40020"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Finance</w:t>
            </w:r>
          </w:p>
        </w:tc>
        <w:tc>
          <w:tcPr>
            <w:tcW w:w="0" w:type="auto"/>
            <w:hideMark/>
          </w:tcPr>
          <w:p w14:paraId="7AE58BD6" w14:textId="77777777" w:rsidR="00370664" w:rsidRPr="00370664" w:rsidRDefault="00370664" w:rsidP="00370664">
            <w:pPr>
              <w:spacing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Forecast potential revenue loss and justify retention budgets</w:t>
            </w:r>
          </w:p>
        </w:tc>
      </w:tr>
      <w:tr w:rsidR="00370664" w:rsidRPr="00370664" w14:paraId="12E38DA8" w14:textId="77777777" w:rsidTr="0013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3DBB3"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Product/Service Teams</w:t>
            </w:r>
          </w:p>
        </w:tc>
        <w:tc>
          <w:tcPr>
            <w:tcW w:w="0" w:type="auto"/>
            <w:hideMark/>
          </w:tcPr>
          <w:p w14:paraId="33104994" w14:textId="77777777" w:rsidR="00370664" w:rsidRPr="00370664" w:rsidRDefault="00370664" w:rsidP="00370664">
            <w:pPr>
              <w:spacing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Redesign experiences or pricing models contributing to churn</w:t>
            </w:r>
          </w:p>
        </w:tc>
      </w:tr>
    </w:tbl>
    <w:p w14:paraId="3EBE262C" w14:textId="0DAF3777" w:rsidR="00370664" w:rsidRPr="00370664" w:rsidRDefault="00370664" w:rsidP="00370664">
      <w:pPr>
        <w:spacing w:after="0"/>
        <w:rPr>
          <w:rFonts w:asciiTheme="majorHAnsi" w:hAnsiTheme="majorHAnsi" w:cstheme="majorHAnsi"/>
        </w:rPr>
      </w:pPr>
    </w:p>
    <w:p w14:paraId="61434962" w14:textId="6D63231E" w:rsidR="00130307" w:rsidRPr="00370664" w:rsidRDefault="00370664" w:rsidP="00130307">
      <w:pPr>
        <w:rPr>
          <w:rFonts w:asciiTheme="majorHAnsi" w:hAnsiTheme="majorHAnsi" w:cstheme="majorHAnsi"/>
          <w:color w:val="4472C4" w:themeColor="accent1"/>
        </w:rPr>
      </w:pPr>
      <w:r w:rsidRPr="00370664">
        <w:rPr>
          <w:rFonts w:asciiTheme="majorHAnsi" w:hAnsiTheme="majorHAnsi" w:cstheme="majorHAnsi"/>
          <w:color w:val="4472C4" w:themeColor="accent1"/>
        </w:rPr>
        <w:t>Strategic Value of This Solution</w:t>
      </w:r>
    </w:p>
    <w:p w14:paraId="50657577" w14:textId="77777777" w:rsidR="00370664" w:rsidRPr="00370664" w:rsidRDefault="00370664" w:rsidP="00130307">
      <w:pPr>
        <w:rPr>
          <w:rFonts w:asciiTheme="majorHAnsi" w:hAnsiTheme="majorHAnsi" w:cstheme="majorHAnsi"/>
        </w:rPr>
      </w:pPr>
      <w:r w:rsidRPr="00370664">
        <w:rPr>
          <w:rFonts w:asciiTheme="majorHAnsi" w:hAnsiTheme="majorHAnsi" w:cstheme="majorHAnsi"/>
        </w:rPr>
        <w:t xml:space="preserve">This dashboard suite shifts the organization from </w:t>
      </w:r>
      <w:r w:rsidRPr="00370664">
        <w:rPr>
          <w:rFonts w:asciiTheme="majorHAnsi" w:hAnsiTheme="majorHAnsi" w:cstheme="majorHAnsi"/>
          <w:b/>
          <w:bCs/>
        </w:rPr>
        <w:t>awareness to action</w:t>
      </w:r>
      <w:r w:rsidRPr="00370664">
        <w:rPr>
          <w:rFonts w:asciiTheme="majorHAnsi" w:hAnsiTheme="majorHAnsi" w:cstheme="majorHAnsi"/>
        </w:rPr>
        <w:t>:</w:t>
      </w:r>
    </w:p>
    <w:tbl>
      <w:tblPr>
        <w:tblStyle w:val="PlainTable2"/>
        <w:tblW w:w="0" w:type="auto"/>
        <w:tblLook w:val="04A0" w:firstRow="1" w:lastRow="0" w:firstColumn="1" w:lastColumn="0" w:noHBand="0" w:noVBand="1"/>
      </w:tblPr>
      <w:tblGrid>
        <w:gridCol w:w="3162"/>
        <w:gridCol w:w="4539"/>
      </w:tblGrid>
      <w:tr w:rsidR="00370664" w:rsidRPr="00370664" w14:paraId="31F3358C" w14:textId="77777777" w:rsidTr="001303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83D68"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Traditional Approach</w:t>
            </w:r>
          </w:p>
        </w:tc>
        <w:tc>
          <w:tcPr>
            <w:tcW w:w="0" w:type="auto"/>
            <w:hideMark/>
          </w:tcPr>
          <w:p w14:paraId="57389D31" w14:textId="77777777" w:rsidR="00370664" w:rsidRPr="00370664" w:rsidRDefault="00370664" w:rsidP="00370664">
            <w:pPr>
              <w:spacing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BI-Driven Approach</w:t>
            </w:r>
          </w:p>
        </w:tc>
      </w:tr>
      <w:tr w:rsidR="00370664" w:rsidRPr="00370664" w14:paraId="7AA43303" w14:textId="77777777" w:rsidTr="0013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A000B"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React after customers leave</w:t>
            </w:r>
          </w:p>
        </w:tc>
        <w:tc>
          <w:tcPr>
            <w:tcW w:w="0" w:type="auto"/>
            <w:hideMark/>
          </w:tcPr>
          <w:p w14:paraId="49C08B13" w14:textId="77777777" w:rsidR="00370664" w:rsidRPr="00370664" w:rsidRDefault="00370664" w:rsidP="00370664">
            <w:pPr>
              <w:spacing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Intervene before churn occurs</w:t>
            </w:r>
          </w:p>
        </w:tc>
      </w:tr>
      <w:tr w:rsidR="00370664" w:rsidRPr="00370664" w14:paraId="21ECD7A2" w14:textId="77777777" w:rsidTr="00130307">
        <w:tc>
          <w:tcPr>
            <w:cnfStyle w:val="001000000000" w:firstRow="0" w:lastRow="0" w:firstColumn="1" w:lastColumn="0" w:oddVBand="0" w:evenVBand="0" w:oddHBand="0" w:evenHBand="0" w:firstRowFirstColumn="0" w:firstRowLastColumn="0" w:lastRowFirstColumn="0" w:lastRowLastColumn="0"/>
            <w:tcW w:w="0" w:type="auto"/>
            <w:hideMark/>
          </w:tcPr>
          <w:p w14:paraId="0845F580"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Broad generic retention offers</w:t>
            </w:r>
          </w:p>
        </w:tc>
        <w:tc>
          <w:tcPr>
            <w:tcW w:w="0" w:type="auto"/>
            <w:hideMark/>
          </w:tcPr>
          <w:p w14:paraId="7EE7E944" w14:textId="77777777" w:rsidR="00370664" w:rsidRPr="00370664" w:rsidRDefault="00370664" w:rsidP="00370664">
            <w:pPr>
              <w:spacing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Segment-wise targeted strategies</w:t>
            </w:r>
          </w:p>
        </w:tc>
      </w:tr>
      <w:tr w:rsidR="00370664" w:rsidRPr="00370664" w14:paraId="5D8AB193" w14:textId="77777777" w:rsidTr="0013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91422"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Difficult to identify root causes</w:t>
            </w:r>
          </w:p>
        </w:tc>
        <w:tc>
          <w:tcPr>
            <w:tcW w:w="0" w:type="auto"/>
            <w:hideMark/>
          </w:tcPr>
          <w:p w14:paraId="5B260B41" w14:textId="77777777" w:rsidR="00370664" w:rsidRPr="00370664" w:rsidRDefault="00370664" w:rsidP="00370664">
            <w:pPr>
              <w:spacing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Clear diagnosis of churn drivers</w:t>
            </w:r>
          </w:p>
        </w:tc>
      </w:tr>
      <w:tr w:rsidR="00370664" w:rsidRPr="00370664" w14:paraId="0AF23545" w14:textId="77777777" w:rsidTr="00130307">
        <w:tc>
          <w:tcPr>
            <w:cnfStyle w:val="001000000000" w:firstRow="0" w:lastRow="0" w:firstColumn="1" w:lastColumn="0" w:oddVBand="0" w:evenVBand="0" w:oddHBand="0" w:evenHBand="0" w:firstRowFirstColumn="0" w:firstRowLastColumn="0" w:lastRowFirstColumn="0" w:lastRowLastColumn="0"/>
            <w:tcW w:w="0" w:type="auto"/>
            <w:hideMark/>
          </w:tcPr>
          <w:p w14:paraId="2CCB42FF" w14:textId="77777777" w:rsidR="00370664" w:rsidRPr="00370664" w:rsidRDefault="00370664" w:rsidP="00370664">
            <w:pPr>
              <w:spacing w:line="278" w:lineRule="auto"/>
              <w:rPr>
                <w:rFonts w:asciiTheme="majorHAnsi" w:hAnsiTheme="majorHAnsi" w:cstheme="majorHAnsi"/>
              </w:rPr>
            </w:pPr>
            <w:r w:rsidRPr="00370664">
              <w:rPr>
                <w:rFonts w:asciiTheme="majorHAnsi" w:hAnsiTheme="majorHAnsi" w:cstheme="majorHAnsi"/>
              </w:rPr>
              <w:t>Limited forecasting</w:t>
            </w:r>
          </w:p>
        </w:tc>
        <w:tc>
          <w:tcPr>
            <w:tcW w:w="0" w:type="auto"/>
            <w:hideMark/>
          </w:tcPr>
          <w:p w14:paraId="0CD60E60" w14:textId="77777777" w:rsidR="00370664" w:rsidRPr="00370664" w:rsidRDefault="00370664" w:rsidP="00370664">
            <w:pPr>
              <w:spacing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70664">
              <w:rPr>
                <w:rFonts w:asciiTheme="majorHAnsi" w:hAnsiTheme="majorHAnsi" w:cstheme="majorHAnsi"/>
              </w:rPr>
              <w:t>Forward-looking customer health monitoring</w:t>
            </w:r>
          </w:p>
        </w:tc>
      </w:tr>
    </w:tbl>
    <w:p w14:paraId="08F25AFB" w14:textId="15EF7C97" w:rsidR="00370664" w:rsidRPr="00370664" w:rsidRDefault="00370664" w:rsidP="00370664">
      <w:pPr>
        <w:spacing w:after="0"/>
        <w:rPr>
          <w:rFonts w:asciiTheme="majorHAnsi" w:hAnsiTheme="majorHAnsi" w:cstheme="majorHAnsi"/>
        </w:rPr>
      </w:pPr>
    </w:p>
    <w:p w14:paraId="54990A87" w14:textId="339D72E0" w:rsidR="00370664" w:rsidRPr="00370664" w:rsidRDefault="00370664" w:rsidP="00370664">
      <w:pPr>
        <w:spacing w:after="0"/>
        <w:rPr>
          <w:rFonts w:asciiTheme="majorHAnsi" w:hAnsiTheme="majorHAnsi" w:cstheme="majorHAnsi"/>
          <w:color w:val="4472C4" w:themeColor="accent1"/>
        </w:rPr>
      </w:pPr>
      <w:r w:rsidRPr="00370664">
        <w:rPr>
          <w:rFonts w:asciiTheme="majorHAnsi" w:hAnsiTheme="majorHAnsi" w:cstheme="majorHAnsi"/>
          <w:color w:val="4472C4" w:themeColor="accent1"/>
        </w:rPr>
        <w:t>Summary</w:t>
      </w:r>
    </w:p>
    <w:p w14:paraId="0E35B17E" w14:textId="77777777" w:rsidR="00370664" w:rsidRPr="00370664" w:rsidRDefault="00370664" w:rsidP="00370664">
      <w:pPr>
        <w:spacing w:after="0"/>
        <w:rPr>
          <w:rFonts w:asciiTheme="majorHAnsi" w:hAnsiTheme="majorHAnsi" w:cstheme="majorHAnsi"/>
        </w:rPr>
      </w:pPr>
      <w:r w:rsidRPr="00370664">
        <w:rPr>
          <w:rFonts w:asciiTheme="majorHAnsi" w:hAnsiTheme="majorHAnsi" w:cstheme="majorHAnsi"/>
        </w:rPr>
        <w:t>This report equips leadership with the clarity to:</w:t>
      </w:r>
    </w:p>
    <w:p w14:paraId="3CE6D716" w14:textId="420EA61C" w:rsidR="00370664" w:rsidRPr="00370664" w:rsidRDefault="00370664" w:rsidP="00370664">
      <w:pPr>
        <w:numPr>
          <w:ilvl w:val="0"/>
          <w:numId w:val="3"/>
        </w:numPr>
        <w:spacing w:after="0"/>
        <w:rPr>
          <w:rFonts w:asciiTheme="majorHAnsi" w:hAnsiTheme="majorHAnsi" w:cstheme="majorHAnsi"/>
        </w:rPr>
      </w:pPr>
      <w:r w:rsidRPr="00370664">
        <w:rPr>
          <w:rFonts w:asciiTheme="majorHAnsi" w:hAnsiTheme="majorHAnsi" w:cstheme="majorHAnsi"/>
        </w:rPr>
        <w:t>Understand why churn is happening</w:t>
      </w:r>
      <w:r w:rsidR="00130307">
        <w:rPr>
          <w:rFonts w:asciiTheme="majorHAnsi" w:hAnsiTheme="majorHAnsi" w:cstheme="majorHAnsi"/>
        </w:rPr>
        <w:t>.</w:t>
      </w:r>
    </w:p>
    <w:p w14:paraId="7ED63630" w14:textId="47075B0F" w:rsidR="00370664" w:rsidRPr="00370664" w:rsidRDefault="00370664" w:rsidP="00370664">
      <w:pPr>
        <w:numPr>
          <w:ilvl w:val="0"/>
          <w:numId w:val="3"/>
        </w:numPr>
        <w:spacing w:after="0"/>
        <w:rPr>
          <w:rFonts w:asciiTheme="majorHAnsi" w:hAnsiTheme="majorHAnsi" w:cstheme="majorHAnsi"/>
        </w:rPr>
      </w:pPr>
      <w:r w:rsidRPr="00370664">
        <w:rPr>
          <w:rFonts w:asciiTheme="majorHAnsi" w:hAnsiTheme="majorHAnsi" w:cstheme="majorHAnsi"/>
        </w:rPr>
        <w:t>Discover which segments require urgent action</w:t>
      </w:r>
      <w:r w:rsidR="00130307">
        <w:rPr>
          <w:rFonts w:asciiTheme="majorHAnsi" w:hAnsiTheme="majorHAnsi" w:cstheme="majorHAnsi"/>
        </w:rPr>
        <w:t>.</w:t>
      </w:r>
    </w:p>
    <w:p w14:paraId="7AE9CF69" w14:textId="003D34F5" w:rsidR="00370664" w:rsidRPr="00370664" w:rsidRDefault="00370664" w:rsidP="00370664">
      <w:pPr>
        <w:numPr>
          <w:ilvl w:val="0"/>
          <w:numId w:val="3"/>
        </w:numPr>
        <w:spacing w:after="0"/>
        <w:rPr>
          <w:rFonts w:asciiTheme="majorHAnsi" w:hAnsiTheme="majorHAnsi" w:cstheme="majorHAnsi"/>
        </w:rPr>
      </w:pPr>
      <w:r w:rsidRPr="00370664">
        <w:rPr>
          <w:rFonts w:asciiTheme="majorHAnsi" w:hAnsiTheme="majorHAnsi" w:cstheme="majorHAnsi"/>
        </w:rPr>
        <w:t>Prioritize retention investments intelligently</w:t>
      </w:r>
      <w:r w:rsidR="00130307">
        <w:rPr>
          <w:rFonts w:asciiTheme="majorHAnsi" w:hAnsiTheme="majorHAnsi" w:cstheme="majorHAnsi"/>
        </w:rPr>
        <w:t>.</w:t>
      </w:r>
    </w:p>
    <w:p w14:paraId="76C6F8A3" w14:textId="77777777" w:rsidR="00370664" w:rsidRPr="00370664" w:rsidRDefault="00370664" w:rsidP="00370664">
      <w:pPr>
        <w:numPr>
          <w:ilvl w:val="0"/>
          <w:numId w:val="3"/>
        </w:numPr>
        <w:spacing w:after="0"/>
        <w:rPr>
          <w:rFonts w:asciiTheme="majorHAnsi" w:hAnsiTheme="majorHAnsi" w:cstheme="majorHAnsi"/>
        </w:rPr>
      </w:pPr>
      <w:r w:rsidRPr="00370664">
        <w:rPr>
          <w:rFonts w:asciiTheme="majorHAnsi" w:hAnsiTheme="majorHAnsi" w:cstheme="majorHAnsi"/>
        </w:rPr>
        <w:t>Safeguard recurring revenue and customer lifetime value</w:t>
      </w:r>
    </w:p>
    <w:p w14:paraId="4A3D6B0B" w14:textId="77777777" w:rsidR="00370664" w:rsidRPr="00370664" w:rsidRDefault="00370664" w:rsidP="00370664">
      <w:pPr>
        <w:spacing w:after="0"/>
        <w:rPr>
          <w:rFonts w:asciiTheme="majorHAnsi" w:hAnsiTheme="majorHAnsi" w:cstheme="majorHAnsi"/>
        </w:rPr>
      </w:pPr>
      <w:r w:rsidRPr="00370664">
        <w:rPr>
          <w:rFonts w:asciiTheme="majorHAnsi" w:hAnsiTheme="majorHAnsi" w:cstheme="majorHAnsi"/>
        </w:rPr>
        <w:t xml:space="preserve">The insights presented across both pages ensure that churn management is </w:t>
      </w:r>
      <w:r w:rsidRPr="00370664">
        <w:rPr>
          <w:rFonts w:asciiTheme="majorHAnsi" w:hAnsiTheme="majorHAnsi" w:cstheme="majorHAnsi"/>
          <w:b/>
          <w:bCs/>
        </w:rPr>
        <w:t>data-driven, customer-focused, and proactive</w:t>
      </w:r>
      <w:r w:rsidRPr="00370664">
        <w:rPr>
          <w:rFonts w:asciiTheme="majorHAnsi" w:hAnsiTheme="majorHAnsi" w:cstheme="majorHAnsi"/>
        </w:rPr>
        <w:t xml:space="preserve"> — ultimately building a stronger, more resilient customer base.</w:t>
      </w:r>
    </w:p>
    <w:p w14:paraId="0AD37B93" w14:textId="77777777" w:rsidR="00816D01" w:rsidRPr="00370664" w:rsidRDefault="00816D01" w:rsidP="00370664">
      <w:pPr>
        <w:spacing w:after="0"/>
        <w:rPr>
          <w:rFonts w:asciiTheme="majorHAnsi" w:hAnsiTheme="majorHAnsi" w:cstheme="majorHAnsi"/>
        </w:rPr>
      </w:pPr>
    </w:p>
    <w:sectPr w:rsidR="00816D01" w:rsidRPr="003706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47E"/>
    <w:multiLevelType w:val="multilevel"/>
    <w:tmpl w:val="B20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D7E29"/>
    <w:multiLevelType w:val="multilevel"/>
    <w:tmpl w:val="A10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69199C"/>
    <w:multiLevelType w:val="multilevel"/>
    <w:tmpl w:val="512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052472">
    <w:abstractNumId w:val="0"/>
  </w:num>
  <w:num w:numId="2" w16cid:durableId="633413039">
    <w:abstractNumId w:val="2"/>
  </w:num>
  <w:num w:numId="3" w16cid:durableId="2069111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01"/>
    <w:rsid w:val="00130307"/>
    <w:rsid w:val="00370664"/>
    <w:rsid w:val="00816D01"/>
    <w:rsid w:val="00910EBC"/>
    <w:rsid w:val="00E42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E890"/>
  <w15:chartTrackingRefBased/>
  <w15:docId w15:val="{89E7631A-012D-47AE-9D35-66C946ED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D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D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D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D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D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D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D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D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D01"/>
    <w:rPr>
      <w:rFonts w:eastAsiaTheme="majorEastAsia" w:cstheme="majorBidi"/>
      <w:color w:val="272727" w:themeColor="text1" w:themeTint="D8"/>
    </w:rPr>
  </w:style>
  <w:style w:type="paragraph" w:styleId="Title">
    <w:name w:val="Title"/>
    <w:basedOn w:val="Normal"/>
    <w:next w:val="Normal"/>
    <w:link w:val="TitleChar"/>
    <w:uiPriority w:val="10"/>
    <w:qFormat/>
    <w:rsid w:val="00816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D01"/>
    <w:pPr>
      <w:spacing w:before="160"/>
      <w:jc w:val="center"/>
    </w:pPr>
    <w:rPr>
      <w:i/>
      <w:iCs/>
      <w:color w:val="404040" w:themeColor="text1" w:themeTint="BF"/>
    </w:rPr>
  </w:style>
  <w:style w:type="character" w:customStyle="1" w:styleId="QuoteChar">
    <w:name w:val="Quote Char"/>
    <w:basedOn w:val="DefaultParagraphFont"/>
    <w:link w:val="Quote"/>
    <w:uiPriority w:val="29"/>
    <w:rsid w:val="00816D01"/>
    <w:rPr>
      <w:i/>
      <w:iCs/>
      <w:color w:val="404040" w:themeColor="text1" w:themeTint="BF"/>
    </w:rPr>
  </w:style>
  <w:style w:type="paragraph" w:styleId="ListParagraph">
    <w:name w:val="List Paragraph"/>
    <w:basedOn w:val="Normal"/>
    <w:uiPriority w:val="34"/>
    <w:qFormat/>
    <w:rsid w:val="00816D01"/>
    <w:pPr>
      <w:ind w:left="720"/>
      <w:contextualSpacing/>
    </w:pPr>
  </w:style>
  <w:style w:type="character" w:styleId="IntenseEmphasis">
    <w:name w:val="Intense Emphasis"/>
    <w:basedOn w:val="DefaultParagraphFont"/>
    <w:uiPriority w:val="21"/>
    <w:qFormat/>
    <w:rsid w:val="00816D01"/>
    <w:rPr>
      <w:i/>
      <w:iCs/>
      <w:color w:val="2F5496" w:themeColor="accent1" w:themeShade="BF"/>
    </w:rPr>
  </w:style>
  <w:style w:type="paragraph" w:styleId="IntenseQuote">
    <w:name w:val="Intense Quote"/>
    <w:basedOn w:val="Normal"/>
    <w:next w:val="Normal"/>
    <w:link w:val="IntenseQuoteChar"/>
    <w:uiPriority w:val="30"/>
    <w:qFormat/>
    <w:rsid w:val="00816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D01"/>
    <w:rPr>
      <w:i/>
      <w:iCs/>
      <w:color w:val="2F5496" w:themeColor="accent1" w:themeShade="BF"/>
    </w:rPr>
  </w:style>
  <w:style w:type="character" w:styleId="IntenseReference">
    <w:name w:val="Intense Reference"/>
    <w:basedOn w:val="DefaultParagraphFont"/>
    <w:uiPriority w:val="32"/>
    <w:qFormat/>
    <w:rsid w:val="00816D01"/>
    <w:rPr>
      <w:b/>
      <w:bCs/>
      <w:smallCaps/>
      <w:color w:val="2F5496" w:themeColor="accent1" w:themeShade="BF"/>
      <w:spacing w:val="5"/>
    </w:rPr>
  </w:style>
  <w:style w:type="table" w:styleId="TableGridLight">
    <w:name w:val="Grid Table Light"/>
    <w:basedOn w:val="TableNormal"/>
    <w:uiPriority w:val="40"/>
    <w:rsid w:val="001303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13030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576</Words>
  <Characters>3287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Mandeep Singh</dc:creator>
  <cp:keywords/>
  <dc:description/>
  <cp:lastModifiedBy>Mandeep Singh</cp:lastModifiedBy>
  <cp:revision>3</cp:revision>
  <dcterms:created xsi:type="dcterms:W3CDTF">2025-12-04T08:58:00Z</dcterms:created>
  <dcterms:modified xsi:type="dcterms:W3CDTF">2025-12-04T09:18:00Z</dcterms:modified>
</cp:coreProperties>
</file>