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6E63" w14:textId="56437E50" w:rsidR="00586FDD" w:rsidRPr="00586FDD" w:rsidRDefault="00586FDD" w:rsidP="00586FDD">
      <w:pPr>
        <w:jc w:val="center"/>
        <w:rPr>
          <w:b/>
          <w:bCs/>
          <w:color w:val="215E99" w:themeColor="text2" w:themeTint="BF"/>
          <w:sz w:val="32"/>
          <w:szCs w:val="32"/>
        </w:rPr>
      </w:pPr>
      <w:r w:rsidRPr="00586FDD">
        <w:rPr>
          <w:b/>
          <w:bCs/>
          <w:color w:val="215E99" w:themeColor="text2" w:themeTint="BF"/>
          <w:sz w:val="32"/>
          <w:szCs w:val="32"/>
        </w:rPr>
        <w:t>India Bank Credit Deployment Analysis 2019-2025</w:t>
      </w:r>
    </w:p>
    <w:p w14:paraId="342279E9" w14:textId="77777777" w:rsidR="00586FDD" w:rsidRDefault="00586FDD" w:rsidP="00586FDD">
      <w:pPr>
        <w:rPr>
          <w:b/>
          <w:bCs/>
          <w:color w:val="215E99" w:themeColor="text2" w:themeTint="BF"/>
        </w:rPr>
      </w:pPr>
    </w:p>
    <w:p w14:paraId="3E545D75" w14:textId="76519DDF" w:rsidR="00586FDD" w:rsidRPr="00586FDD" w:rsidRDefault="00586FDD" w:rsidP="00586FDD">
      <w:pPr>
        <w:rPr>
          <w:color w:val="215E99" w:themeColor="text2" w:themeTint="BF"/>
        </w:rPr>
      </w:pPr>
      <w:r>
        <w:rPr>
          <w:b/>
          <w:bCs/>
          <w:color w:val="215E99" w:themeColor="text2" w:themeTint="BF"/>
        </w:rPr>
        <w:t xml:space="preserve">Project </w:t>
      </w:r>
      <w:r w:rsidRPr="00586FDD">
        <w:rPr>
          <w:b/>
          <w:bCs/>
          <w:color w:val="215E99" w:themeColor="text2" w:themeTint="BF"/>
        </w:rPr>
        <w:t>Overview</w:t>
      </w:r>
    </w:p>
    <w:p w14:paraId="45922C51" w14:textId="77777777" w:rsidR="00586FDD" w:rsidRPr="00586FDD" w:rsidRDefault="00586FDD" w:rsidP="00586FDD">
      <w:pPr>
        <w:rPr>
          <w:color w:val="215E99" w:themeColor="text2" w:themeTint="BF"/>
        </w:rPr>
      </w:pPr>
      <w:r w:rsidRPr="00586FDD">
        <w:rPr>
          <w:b/>
          <w:bCs/>
          <w:color w:val="215E99" w:themeColor="text2" w:themeTint="BF"/>
        </w:rPr>
        <w:t>Sector-wise Trends | Growth Rates | Portfolio Mix</w:t>
      </w:r>
    </w:p>
    <w:p w14:paraId="13BAFEF6" w14:textId="77777777" w:rsidR="00586FDD" w:rsidRDefault="00586FDD" w:rsidP="00586FDD">
      <w:r w:rsidRPr="00586FDD">
        <w:t>This professional dashboard delivers a comprehensive analysis of Indian bank credit deployment from 2019-20 to 2024-25 across the 10 main banking sectors. It highlights major trends, growth rates, and the evolving sectoral composition of credit portfolios. Dynamic KPI cards, interactive charts, and detailed pivot tables empower users to explore sector performance, growth leaders, and portfolio shifts with year and sector-type filtering. All figures are in ₹ lakh crore and growth rates are visually coded for quick insights.</w:t>
      </w:r>
    </w:p>
    <w:p w14:paraId="707D1FD0" w14:textId="77777777" w:rsidR="00586FDD" w:rsidRPr="00586FDD" w:rsidRDefault="00586FDD" w:rsidP="00586FDD"/>
    <w:p w14:paraId="3FA24DD2" w14:textId="77777777" w:rsidR="00586FDD" w:rsidRDefault="00586FDD" w:rsidP="00586FDD">
      <w:pPr>
        <w:rPr>
          <w:b/>
          <w:bCs/>
          <w:color w:val="215E99" w:themeColor="text2" w:themeTint="BF"/>
        </w:rPr>
      </w:pPr>
      <w:r w:rsidRPr="00586FDD">
        <w:rPr>
          <w:b/>
          <w:bCs/>
          <w:color w:val="215E99" w:themeColor="text2" w:themeTint="BF"/>
        </w:rPr>
        <w:t>What's included:</w:t>
      </w:r>
    </w:p>
    <w:p w14:paraId="47AB747A" w14:textId="77777777" w:rsidR="00586FDD" w:rsidRDefault="00586FDD" w:rsidP="00586FDD">
      <w:pPr>
        <w:rPr>
          <w:b/>
          <w:bCs/>
        </w:rPr>
      </w:pPr>
      <w:r w:rsidRPr="00E177CC">
        <w:t xml:space="preserve"> Bank Credit Analysis</w:t>
      </w:r>
      <w:r w:rsidRPr="00E177CC">
        <w:rPr>
          <w:b/>
          <w:bCs/>
        </w:rPr>
        <w:t> </w:t>
      </w:r>
    </w:p>
    <w:p w14:paraId="6EBA471C" w14:textId="049E4AE2" w:rsidR="00586FDD" w:rsidRPr="00E177CC" w:rsidRDefault="00586FDD" w:rsidP="00586FDD">
      <w:r w:rsidRPr="00E177CC">
        <w:t>10 Major Sectors with detailed sub-sector breakdowns</w:t>
      </w:r>
    </w:p>
    <w:p w14:paraId="7B46FF65" w14:textId="77777777" w:rsidR="00586FDD" w:rsidRPr="00E177CC" w:rsidRDefault="00586FDD" w:rsidP="00586FDD">
      <w:pPr>
        <w:numPr>
          <w:ilvl w:val="0"/>
          <w:numId w:val="1"/>
        </w:numPr>
      </w:pPr>
      <w:r w:rsidRPr="00E177CC">
        <w:t>6 years of data (2019–20 to 2024–25) in ₹ lakh crore</w:t>
      </w:r>
    </w:p>
    <w:p w14:paraId="6DC0BA34" w14:textId="77777777" w:rsidR="00586FDD" w:rsidRPr="00E177CC" w:rsidRDefault="00586FDD" w:rsidP="00586FDD">
      <w:pPr>
        <w:numPr>
          <w:ilvl w:val="0"/>
          <w:numId w:val="1"/>
        </w:numPr>
      </w:pPr>
      <w:r w:rsidRPr="00E177CC">
        <w:t>Pre-calculated metrics:</w:t>
      </w:r>
    </w:p>
    <w:p w14:paraId="15B4481E" w14:textId="77777777" w:rsidR="00586FDD" w:rsidRPr="00E177CC" w:rsidRDefault="00586FDD" w:rsidP="00586FDD">
      <w:pPr>
        <w:numPr>
          <w:ilvl w:val="1"/>
          <w:numId w:val="1"/>
        </w:numPr>
      </w:pPr>
      <w:r w:rsidRPr="00E177CC">
        <w:t>Year-over-Year (YoY) Growth % for each year</w:t>
      </w:r>
    </w:p>
    <w:p w14:paraId="403F57AD" w14:textId="77777777" w:rsidR="00586FDD" w:rsidRPr="00E177CC" w:rsidRDefault="00586FDD" w:rsidP="00586FDD">
      <w:pPr>
        <w:numPr>
          <w:ilvl w:val="1"/>
          <w:numId w:val="1"/>
        </w:numPr>
      </w:pPr>
      <w:r w:rsidRPr="00E177CC">
        <w:t>CAGR (5-year compound growth)</w:t>
      </w:r>
    </w:p>
    <w:p w14:paraId="59136B34" w14:textId="77777777" w:rsidR="00586FDD" w:rsidRPr="00E177CC" w:rsidRDefault="00586FDD" w:rsidP="00586FDD">
      <w:pPr>
        <w:numPr>
          <w:ilvl w:val="1"/>
          <w:numId w:val="1"/>
        </w:numPr>
      </w:pPr>
      <w:r w:rsidRPr="00E177CC">
        <w:t>Sector share percentage for 2024–25</w:t>
      </w:r>
    </w:p>
    <w:p w14:paraId="59047E2F" w14:textId="77777777" w:rsidR="00586FDD" w:rsidRPr="00E177CC" w:rsidRDefault="00586FDD" w:rsidP="00586FDD">
      <w:r w:rsidRPr="00E177CC">
        <w:t>Sectors included:</w:t>
      </w:r>
    </w:p>
    <w:p w14:paraId="1C69B82E" w14:textId="77777777" w:rsidR="00586FDD" w:rsidRPr="00E177CC" w:rsidRDefault="00586FDD" w:rsidP="00586FDD">
      <w:pPr>
        <w:numPr>
          <w:ilvl w:val="0"/>
          <w:numId w:val="2"/>
        </w:numPr>
      </w:pPr>
      <w:r w:rsidRPr="00E177CC">
        <w:t>Agriculture &amp; Allied Activities (with 3 sub-sectors)</w:t>
      </w:r>
    </w:p>
    <w:p w14:paraId="1ECB6DCB" w14:textId="77777777" w:rsidR="00586FDD" w:rsidRPr="00E177CC" w:rsidRDefault="00586FDD" w:rsidP="00586FDD">
      <w:pPr>
        <w:numPr>
          <w:ilvl w:val="0"/>
          <w:numId w:val="2"/>
        </w:numPr>
      </w:pPr>
      <w:r w:rsidRPr="00E177CC">
        <w:t>Industry - MSME (with 4 sub-sectors: Micro, Small, Medium, Large)</w:t>
      </w:r>
    </w:p>
    <w:p w14:paraId="7D3FB73F" w14:textId="77777777" w:rsidR="00586FDD" w:rsidRPr="00E177CC" w:rsidRDefault="00586FDD" w:rsidP="00586FDD">
      <w:pPr>
        <w:numPr>
          <w:ilvl w:val="0"/>
          <w:numId w:val="2"/>
        </w:numPr>
      </w:pPr>
      <w:r w:rsidRPr="00E177CC">
        <w:t>Services Sector (with 5 sub-sectors: Trade, IT, Tourism, Transport, Financial)</w:t>
      </w:r>
    </w:p>
    <w:p w14:paraId="1065D610" w14:textId="77777777" w:rsidR="00586FDD" w:rsidRPr="00E177CC" w:rsidRDefault="00586FDD" w:rsidP="00586FDD">
      <w:pPr>
        <w:numPr>
          <w:ilvl w:val="0"/>
          <w:numId w:val="2"/>
        </w:numPr>
      </w:pPr>
      <w:r w:rsidRPr="00E177CC">
        <w:t>Personal Loans - Retail (with 5 sub-sectors: Housing, Vehicle, Credit Card, Personal, Education)</w:t>
      </w:r>
    </w:p>
    <w:p w14:paraId="2DD1E620" w14:textId="77777777" w:rsidR="00586FDD" w:rsidRPr="00E177CC" w:rsidRDefault="00586FDD" w:rsidP="00586FDD">
      <w:pPr>
        <w:numPr>
          <w:ilvl w:val="0"/>
          <w:numId w:val="2"/>
        </w:numPr>
      </w:pPr>
      <w:r w:rsidRPr="00E177CC">
        <w:t>NBFCs (Non-Banking Financial Companies)</w:t>
      </w:r>
    </w:p>
    <w:p w14:paraId="687629F2" w14:textId="77777777" w:rsidR="00586FDD" w:rsidRPr="00E177CC" w:rsidRDefault="00586FDD" w:rsidP="00586FDD">
      <w:pPr>
        <w:numPr>
          <w:ilvl w:val="0"/>
          <w:numId w:val="2"/>
        </w:numPr>
      </w:pPr>
      <w:r w:rsidRPr="00E177CC">
        <w:t>Trade &amp; Export-Import</w:t>
      </w:r>
    </w:p>
    <w:p w14:paraId="18341E54" w14:textId="77777777" w:rsidR="00586FDD" w:rsidRPr="00E177CC" w:rsidRDefault="00586FDD" w:rsidP="00586FDD">
      <w:pPr>
        <w:numPr>
          <w:ilvl w:val="0"/>
          <w:numId w:val="2"/>
        </w:numPr>
      </w:pPr>
      <w:r w:rsidRPr="00E177CC">
        <w:t>Real Estate &amp; Construction</w:t>
      </w:r>
    </w:p>
    <w:p w14:paraId="227C4832" w14:textId="77777777" w:rsidR="00586FDD" w:rsidRPr="00E177CC" w:rsidRDefault="00586FDD" w:rsidP="00586FDD">
      <w:pPr>
        <w:numPr>
          <w:ilvl w:val="0"/>
          <w:numId w:val="2"/>
        </w:numPr>
      </w:pPr>
      <w:r w:rsidRPr="00E177CC">
        <w:t>Power &amp; Energy Sector</w:t>
      </w:r>
    </w:p>
    <w:p w14:paraId="14EA6B2D" w14:textId="77777777" w:rsidR="00586FDD" w:rsidRPr="00E177CC" w:rsidRDefault="00586FDD" w:rsidP="00586FDD">
      <w:pPr>
        <w:numPr>
          <w:ilvl w:val="0"/>
          <w:numId w:val="2"/>
        </w:numPr>
      </w:pPr>
      <w:r w:rsidRPr="00E177CC">
        <w:lastRenderedPageBreak/>
        <w:t>Telecommunications</w:t>
      </w:r>
    </w:p>
    <w:p w14:paraId="001E5BFE" w14:textId="77777777" w:rsidR="00586FDD" w:rsidRDefault="00586FDD" w:rsidP="00586FDD">
      <w:pPr>
        <w:numPr>
          <w:ilvl w:val="0"/>
          <w:numId w:val="2"/>
        </w:numPr>
      </w:pPr>
      <w:r w:rsidRPr="00E177CC">
        <w:t>Government &amp; PSU</w:t>
      </w:r>
    </w:p>
    <w:p w14:paraId="239477C4" w14:textId="77777777" w:rsidR="00586FDD" w:rsidRPr="00586FDD" w:rsidRDefault="00586FDD" w:rsidP="00586FDD">
      <w:pPr>
        <w:numPr>
          <w:ilvl w:val="0"/>
          <w:numId w:val="2"/>
        </w:numPr>
        <w:rPr>
          <w:b/>
          <w:bCs/>
          <w:color w:val="215E99" w:themeColor="text2" w:themeTint="BF"/>
        </w:rPr>
      </w:pPr>
      <w:r w:rsidRPr="00586FDD">
        <w:rPr>
          <w:b/>
          <w:bCs/>
          <w:color w:val="215E99" w:themeColor="text2" w:themeTint="BF"/>
        </w:rPr>
        <w:t>Business context:</w:t>
      </w:r>
    </w:p>
    <w:p w14:paraId="11C36BCE" w14:textId="77777777" w:rsidR="00586FDD" w:rsidRPr="004733FD" w:rsidRDefault="00586FDD" w:rsidP="00586FDD">
      <w:pPr>
        <w:numPr>
          <w:ilvl w:val="1"/>
          <w:numId w:val="2"/>
        </w:numPr>
      </w:pPr>
      <w:r w:rsidRPr="004733FD">
        <w:t xml:space="preserve">“This dashboard </w:t>
      </w:r>
      <w:proofErr w:type="spellStart"/>
      <w:r w:rsidRPr="004733FD">
        <w:t>analyzes</w:t>
      </w:r>
      <w:proofErr w:type="spellEnd"/>
      <w:r w:rsidRPr="004733FD">
        <w:t xml:space="preserve"> how Indian banks have allocated credit across sectors (Agriculture, Industry, Services, Personal Loans, NBFCs, Trade, etc.) from 2019–20 to 2024–25.”</w:t>
      </w:r>
    </w:p>
    <w:p w14:paraId="110B69E6" w14:textId="77777777" w:rsidR="00586FDD" w:rsidRPr="00586FDD" w:rsidRDefault="00586FDD" w:rsidP="00586FDD">
      <w:pPr>
        <w:numPr>
          <w:ilvl w:val="0"/>
          <w:numId w:val="2"/>
        </w:numPr>
        <w:rPr>
          <w:b/>
          <w:bCs/>
          <w:color w:val="215E99" w:themeColor="text2" w:themeTint="BF"/>
        </w:rPr>
      </w:pPr>
      <w:r w:rsidRPr="00586FDD">
        <w:rPr>
          <w:b/>
          <w:bCs/>
          <w:color w:val="215E99" w:themeColor="text2" w:themeTint="BF"/>
        </w:rPr>
        <w:t>Data collection &amp; cleaning:</w:t>
      </w:r>
    </w:p>
    <w:p w14:paraId="7DEA4889" w14:textId="77777777" w:rsidR="00586FDD" w:rsidRPr="004733FD" w:rsidRDefault="00586FDD" w:rsidP="00586FDD">
      <w:pPr>
        <w:numPr>
          <w:ilvl w:val="1"/>
          <w:numId w:val="2"/>
        </w:numPr>
      </w:pPr>
      <w:r w:rsidRPr="004733FD">
        <w:t>“Data was sourced from RBI’s official sectoral credit table and manually transformed into a clean Excel format with standardized sector names, year columns, and numeric values rounded to two decimals.”</w:t>
      </w:r>
    </w:p>
    <w:p w14:paraId="1FEDA183" w14:textId="77777777" w:rsidR="00586FDD" w:rsidRPr="00586FDD" w:rsidRDefault="00586FDD" w:rsidP="00586FDD">
      <w:pPr>
        <w:numPr>
          <w:ilvl w:val="0"/>
          <w:numId w:val="2"/>
        </w:numPr>
        <w:rPr>
          <w:b/>
          <w:bCs/>
          <w:color w:val="215E99" w:themeColor="text2" w:themeTint="BF"/>
        </w:rPr>
      </w:pPr>
      <w:r w:rsidRPr="00586FDD">
        <w:rPr>
          <w:b/>
          <w:bCs/>
          <w:color w:val="215E99" w:themeColor="text2" w:themeTint="BF"/>
        </w:rPr>
        <w:t>AI usage (Brisk AI):</w:t>
      </w:r>
    </w:p>
    <w:p w14:paraId="7A59EE3C" w14:textId="77777777" w:rsidR="00586FDD" w:rsidRPr="004733FD" w:rsidRDefault="00586FDD" w:rsidP="00586FDD">
      <w:pPr>
        <w:numPr>
          <w:ilvl w:val="1"/>
          <w:numId w:val="2"/>
        </w:numPr>
      </w:pPr>
      <w:r w:rsidRPr="004733FD">
        <w:t>“Brisk AI was used to generate rapid exploratory analysis and narrative insights, which were then refined for the final dashboard story.”</w:t>
      </w:r>
    </w:p>
    <w:p w14:paraId="67157738" w14:textId="77777777" w:rsidR="00586FDD" w:rsidRPr="00586FDD" w:rsidRDefault="00586FDD" w:rsidP="00586FDD">
      <w:pPr>
        <w:numPr>
          <w:ilvl w:val="0"/>
          <w:numId w:val="2"/>
        </w:numPr>
        <w:rPr>
          <w:b/>
          <w:bCs/>
          <w:color w:val="215E99" w:themeColor="text2" w:themeTint="BF"/>
        </w:rPr>
      </w:pPr>
      <w:r w:rsidRPr="00586FDD">
        <w:rPr>
          <w:b/>
          <w:bCs/>
          <w:color w:val="215E99" w:themeColor="text2" w:themeTint="BF"/>
        </w:rPr>
        <w:t>Technical features:</w:t>
      </w:r>
    </w:p>
    <w:p w14:paraId="3D8B9043" w14:textId="77777777" w:rsidR="00586FDD" w:rsidRPr="004733FD" w:rsidRDefault="00586FDD" w:rsidP="00586FDD">
      <w:pPr>
        <w:numPr>
          <w:ilvl w:val="1"/>
          <w:numId w:val="2"/>
        </w:numPr>
      </w:pPr>
      <w:r w:rsidRPr="004733FD">
        <w:t>Slicers for year and sector.</w:t>
      </w:r>
    </w:p>
    <w:p w14:paraId="2E2A29EA" w14:textId="77777777" w:rsidR="00586FDD" w:rsidRPr="004733FD" w:rsidRDefault="00586FDD" w:rsidP="00586FDD">
      <w:pPr>
        <w:numPr>
          <w:ilvl w:val="1"/>
          <w:numId w:val="2"/>
        </w:numPr>
      </w:pPr>
      <w:r w:rsidRPr="004733FD">
        <w:t>Conditional formatting to highlight high-growth sectors.</w:t>
      </w:r>
    </w:p>
    <w:p w14:paraId="2296CC1A" w14:textId="77777777" w:rsidR="00586FDD" w:rsidRPr="004733FD" w:rsidRDefault="00586FDD" w:rsidP="00586FDD">
      <w:pPr>
        <w:numPr>
          <w:ilvl w:val="1"/>
          <w:numId w:val="2"/>
        </w:numPr>
      </w:pPr>
      <w:r w:rsidRPr="004733FD">
        <w:t>KPI cards (e.g., total credit, CAGR of personal loans, share of retail vs non-retail).</w:t>
      </w:r>
    </w:p>
    <w:p w14:paraId="7A7F86C3" w14:textId="77777777" w:rsidR="00586FDD" w:rsidRPr="00E177CC" w:rsidRDefault="00586FDD" w:rsidP="00586FDD">
      <w:pPr>
        <w:ind w:left="720"/>
      </w:pPr>
    </w:p>
    <w:p w14:paraId="7E928B44" w14:textId="4EDAE006" w:rsidR="00586FDD" w:rsidRPr="00586FDD" w:rsidRDefault="00586FDD" w:rsidP="00586FDD">
      <w:pPr>
        <w:rPr>
          <w:color w:val="215E99" w:themeColor="text2" w:themeTint="BF"/>
        </w:rPr>
      </w:pPr>
      <w:r>
        <w:rPr>
          <w:b/>
          <w:bCs/>
          <w:color w:val="215E99" w:themeColor="text2" w:themeTint="BF"/>
        </w:rPr>
        <w:t xml:space="preserve">      </w:t>
      </w:r>
      <w:r w:rsidRPr="00586FDD">
        <w:rPr>
          <w:b/>
          <w:bCs/>
          <w:color w:val="215E99" w:themeColor="text2" w:themeTint="BF"/>
        </w:rPr>
        <w:t>Overall Insights</w:t>
      </w:r>
    </w:p>
    <w:p w14:paraId="56F5B320" w14:textId="77777777" w:rsidR="00586FDD" w:rsidRPr="00586FDD" w:rsidRDefault="00586FDD" w:rsidP="00586FDD">
      <w:pPr>
        <w:numPr>
          <w:ilvl w:val="0"/>
          <w:numId w:val="4"/>
        </w:numPr>
      </w:pPr>
      <w:r w:rsidRPr="00586FDD">
        <w:t>Retail/consumer lending (Personal Loans, Credit Card Outstanding, Education Loans, Housing Loans) shows the highest CAGRs among sectors, with growth roughly between 14% and 16%, indicating strong expansion concentrated in retail credit.</w:t>
      </w:r>
    </w:p>
    <w:p w14:paraId="2AE5C38B" w14:textId="77777777" w:rsidR="00586FDD" w:rsidRPr="00586FDD" w:rsidRDefault="00586FDD" w:rsidP="00586FDD">
      <w:pPr>
        <w:numPr>
          <w:ilvl w:val="0"/>
          <w:numId w:val="4"/>
        </w:numPr>
      </w:pPr>
      <w:r w:rsidRPr="00586FDD">
        <w:t>Large Industries stands out as an outlier with a negative CAGR of about -1.2%, contrasting with broadly positive growth in other sectors.</w:t>
      </w:r>
    </w:p>
    <w:p w14:paraId="4B8B7B12" w14:textId="77777777" w:rsidR="00586FDD" w:rsidRPr="00586FDD" w:rsidRDefault="00586FDD" w:rsidP="00586FDD">
      <w:pPr>
        <w:numPr>
          <w:ilvl w:val="0"/>
          <w:numId w:val="4"/>
        </w:numPr>
      </w:pPr>
      <w:r w:rsidRPr="00586FDD">
        <w:t xml:space="preserve">Several service-related and infrastructure sectors—Telecommunications, Real Estate, Services Sector, and Power &amp; Energy—register mid-high CAGRs around 12–13%, </w:t>
      </w:r>
      <w:proofErr w:type="spellStart"/>
      <w:r w:rsidRPr="00586FDD">
        <w:t>signaling</w:t>
      </w:r>
      <w:proofErr w:type="spellEnd"/>
      <w:r w:rsidRPr="00586FDD">
        <w:t xml:space="preserve"> robust expansion beyond retail.</w:t>
      </w:r>
    </w:p>
    <w:p w14:paraId="40FD37A2" w14:textId="77777777" w:rsidR="00586FDD" w:rsidRPr="00586FDD" w:rsidRDefault="00586FDD" w:rsidP="00586FDD">
      <w:pPr>
        <w:numPr>
          <w:ilvl w:val="0"/>
          <w:numId w:val="4"/>
        </w:numPr>
      </w:pPr>
      <w:r w:rsidRPr="00586FDD">
        <w:t>Credit is highly concentrated in 2024-25: Personal Loans (24% share) is the largest, followed by Services (20%) and Industry (Micro/Small/Medium/Large) (~16%), indicating a heavy skew toward retail and services.</w:t>
      </w:r>
    </w:p>
    <w:p w14:paraId="4D4C1060" w14:textId="77777777" w:rsidR="00586FDD" w:rsidRDefault="00586FDD" w:rsidP="00586FDD">
      <w:pPr>
        <w:numPr>
          <w:ilvl w:val="0"/>
          <w:numId w:val="4"/>
        </w:numPr>
      </w:pPr>
      <w:r w:rsidRPr="00586FDD">
        <w:lastRenderedPageBreak/>
        <w:t>Agriculture, NBFCs, Real Estate, and Trade hold smaller but notable shares (roughly 5–9% each), showing some diversification but persistent concentration in primary retail/services sectors.</w:t>
      </w:r>
    </w:p>
    <w:p w14:paraId="652909A8" w14:textId="77777777" w:rsidR="00586FDD" w:rsidRDefault="00586FDD" w:rsidP="00586FDD">
      <w:pPr>
        <w:pStyle w:val="textwidgetblocknode"/>
        <w:numPr>
          <w:ilvl w:val="0"/>
          <w:numId w:val="4"/>
        </w:numPr>
      </w:pPr>
      <w:r>
        <w:t>After 2021, the growth pace accelerates, suggesting a post-2021 recovery/expansion dynamic driving larger annual credit additions.</w:t>
      </w:r>
    </w:p>
    <w:p w14:paraId="39A1B69F" w14:textId="7117C0E9" w:rsidR="00586FDD" w:rsidRPr="00586FDD" w:rsidRDefault="00586FDD" w:rsidP="00586FDD">
      <w:pPr>
        <w:ind w:left="720"/>
      </w:pPr>
    </w:p>
    <w:p w14:paraId="7DD94290" w14:textId="77777777" w:rsidR="00543162" w:rsidRDefault="00543162"/>
    <w:sectPr w:rsidR="00543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E3F"/>
    <w:multiLevelType w:val="multilevel"/>
    <w:tmpl w:val="129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7514"/>
    <w:multiLevelType w:val="multilevel"/>
    <w:tmpl w:val="83307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D41E15"/>
    <w:multiLevelType w:val="multilevel"/>
    <w:tmpl w:val="A12453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D7520D"/>
    <w:multiLevelType w:val="multilevel"/>
    <w:tmpl w:val="FA08A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DB6086"/>
    <w:multiLevelType w:val="multilevel"/>
    <w:tmpl w:val="785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803891">
    <w:abstractNumId w:val="1"/>
  </w:num>
  <w:num w:numId="2" w16cid:durableId="1353995696">
    <w:abstractNumId w:val="2"/>
  </w:num>
  <w:num w:numId="3" w16cid:durableId="2077580694">
    <w:abstractNumId w:val="3"/>
  </w:num>
  <w:num w:numId="4" w16cid:durableId="1782216093">
    <w:abstractNumId w:val="0"/>
  </w:num>
  <w:num w:numId="5" w16cid:durableId="1628009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DD"/>
    <w:rsid w:val="00167E7E"/>
    <w:rsid w:val="00353710"/>
    <w:rsid w:val="00543162"/>
    <w:rsid w:val="00586FDD"/>
    <w:rsid w:val="009D2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45080"/>
  <w15:chartTrackingRefBased/>
  <w15:docId w15:val="{956DF539-D3C6-4BAE-A3C8-35D95087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FDD"/>
    <w:rPr>
      <w:rFonts w:eastAsiaTheme="majorEastAsia" w:cstheme="majorBidi"/>
      <w:color w:val="272727" w:themeColor="text1" w:themeTint="D8"/>
    </w:rPr>
  </w:style>
  <w:style w:type="paragraph" w:styleId="Title">
    <w:name w:val="Title"/>
    <w:basedOn w:val="Normal"/>
    <w:next w:val="Normal"/>
    <w:link w:val="TitleChar"/>
    <w:uiPriority w:val="10"/>
    <w:qFormat/>
    <w:rsid w:val="00586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FDD"/>
    <w:pPr>
      <w:spacing w:before="160"/>
      <w:jc w:val="center"/>
    </w:pPr>
    <w:rPr>
      <w:i/>
      <w:iCs/>
      <w:color w:val="404040" w:themeColor="text1" w:themeTint="BF"/>
    </w:rPr>
  </w:style>
  <w:style w:type="character" w:customStyle="1" w:styleId="QuoteChar">
    <w:name w:val="Quote Char"/>
    <w:basedOn w:val="DefaultParagraphFont"/>
    <w:link w:val="Quote"/>
    <w:uiPriority w:val="29"/>
    <w:rsid w:val="00586FDD"/>
    <w:rPr>
      <w:i/>
      <w:iCs/>
      <w:color w:val="404040" w:themeColor="text1" w:themeTint="BF"/>
    </w:rPr>
  </w:style>
  <w:style w:type="paragraph" w:styleId="ListParagraph">
    <w:name w:val="List Paragraph"/>
    <w:basedOn w:val="Normal"/>
    <w:uiPriority w:val="34"/>
    <w:qFormat/>
    <w:rsid w:val="00586FDD"/>
    <w:pPr>
      <w:ind w:left="720"/>
      <w:contextualSpacing/>
    </w:pPr>
  </w:style>
  <w:style w:type="character" w:styleId="IntenseEmphasis">
    <w:name w:val="Intense Emphasis"/>
    <w:basedOn w:val="DefaultParagraphFont"/>
    <w:uiPriority w:val="21"/>
    <w:qFormat/>
    <w:rsid w:val="00586FDD"/>
    <w:rPr>
      <w:i/>
      <w:iCs/>
      <w:color w:val="0F4761" w:themeColor="accent1" w:themeShade="BF"/>
    </w:rPr>
  </w:style>
  <w:style w:type="paragraph" w:styleId="IntenseQuote">
    <w:name w:val="Intense Quote"/>
    <w:basedOn w:val="Normal"/>
    <w:next w:val="Normal"/>
    <w:link w:val="IntenseQuoteChar"/>
    <w:uiPriority w:val="30"/>
    <w:qFormat/>
    <w:rsid w:val="00586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FDD"/>
    <w:rPr>
      <w:i/>
      <w:iCs/>
      <w:color w:val="0F4761" w:themeColor="accent1" w:themeShade="BF"/>
    </w:rPr>
  </w:style>
  <w:style w:type="character" w:styleId="IntenseReference">
    <w:name w:val="Intense Reference"/>
    <w:basedOn w:val="DefaultParagraphFont"/>
    <w:uiPriority w:val="32"/>
    <w:qFormat/>
    <w:rsid w:val="00586FDD"/>
    <w:rPr>
      <w:b/>
      <w:bCs/>
      <w:smallCaps/>
      <w:color w:val="0F4761" w:themeColor="accent1" w:themeShade="BF"/>
      <w:spacing w:val="5"/>
    </w:rPr>
  </w:style>
  <w:style w:type="paragraph" w:customStyle="1" w:styleId="textwidgetblocknode">
    <w:name w:val="textwidget_blocknode"/>
    <w:basedOn w:val="Normal"/>
    <w:rsid w:val="00586F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Mandeep B N</dc:creator>
  <cp:keywords/>
  <dc:description/>
  <cp:lastModifiedBy>Mandeep B N</cp:lastModifiedBy>
  <cp:revision>1</cp:revision>
  <dcterms:created xsi:type="dcterms:W3CDTF">2025-12-23T08:44:00Z</dcterms:created>
  <dcterms:modified xsi:type="dcterms:W3CDTF">2025-12-23T08:55:00Z</dcterms:modified>
</cp:coreProperties>
</file>