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Calibri" w:cs="Calibri" w:eastAsia="Calibri" w:hAnsi="Calibri"/>
          <w:b/>
          <w:bCs/>
          <w:color w:val="0A1628"/>
          <w:sz w:val="52"/>
          <w:szCs w:val="52"/>
        </w:rPr>
        <w:t xml:space="preserve">NexaVault Financial Corp</w:t>
      </w:r>
    </w:p>
    <w:p>
      <w:pPr>
        <w:spacing w:after="120"/>
        <w:jc w:val="center"/>
      </w:pPr>
      <w:r>
        <w:rPr>
          <w:rFonts w:ascii="Calibri" w:cs="Calibri" w:eastAsia="Calibri" w:hAnsi="Calibri"/>
          <w:b/>
          <w:bCs/>
          <w:color w:val="028090"/>
          <w:sz w:val="40"/>
          <w:szCs w:val="40"/>
        </w:rPr>
        <w:t xml:space="preserve">Intelligent Loan Approval System</w:t>
      </w:r>
    </w:p>
    <w:p>
      <w:pPr>
        <w:spacing w:after="480"/>
        <w:jc w:val="center"/>
      </w:pPr>
      <w:r>
        <w:rPr>
          <w:rFonts w:ascii="Calibri" w:cs="Calibri" w:eastAsia="Calibri" w:hAnsi="Calibri"/>
          <w:i/>
          <w:iCs/>
          <w:color w:val="8A9BB0"/>
          <w:sz w:val="28"/>
          <w:szCs w:val="28"/>
        </w:rPr>
        <w:t xml:space="preserve">Executive Summary  |  Version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0A1628" w:val="clear"/>
            <w:tcMar>
              <w:top w:type="dxa" w:w="240"/>
              <w:left w:type="dxa" w:w="360"/>
              <w:bottom w:type="dxa" w:w="240"/>
              <w:right w:type="dxa" w:w="360"/>
            </w:tcMar>
          </w:tcPr>
          <w:p>
            <w:pPr>
              <w:jc w:val="center"/>
            </w:pPr>
            <w:r>
              <w:rPr>
                <w:rFonts w:ascii="Calibri" w:cs="Calibri" w:eastAsia="Calibri" w:hAnsi="Calibri"/>
                <w:i/>
                <w:iCs/>
                <w:color w:val="FFFFFF"/>
                <w:sz w:val="26"/>
                <w:szCs w:val="26"/>
              </w:rPr>
              <w:t xml:space="preserve">AI-powered loan decisioning that replaces manual review with speed,</w:t>
            </w:r>
          </w:p>
          <w:p>
            <w:pPr>
              <w:jc w:val="center"/>
            </w:pPr>
            <w:r>
              <w:rPr>
                <w:rFonts w:ascii="Calibri" w:cs="Calibri" w:eastAsia="Calibri" w:hAnsi="Calibri"/>
                <w:b/>
                <w:bCs/>
                <w:i/>
                <w:iCs/>
                <w:color w:val="02C39A"/>
                <w:sz w:val="26"/>
                <w:szCs w:val="26"/>
              </w:rPr>
              <w:t xml:space="preserve">fairness, and 99.77% model accuracy.</w:t>
            </w:r>
          </w:p>
        </w:tc>
      </w:tr>
    </w:tbl>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6ED" w:sz="4"/>
              <w:left w:val="single" w:color="E0E6ED" w:sz="4"/>
              <w:bottom w:val="single" w:color="E0E6ED" w:sz="4"/>
              <w:right w:val="single" w:color="E0E6ED" w:sz="4"/>
            </w:tcBorders>
            <w:shd w:fill="E8FAF4" w:val="clear"/>
            <w:tcMar>
              <w:top w:type="dxa" w:w="160"/>
              <w:left w:type="dxa" w:w="200"/>
              <w:bottom w:type="dxa" w:w="160"/>
              <w:right w:type="dxa" w:w="200"/>
            </w:tcMar>
          </w:tcPr>
          <w:p>
            <w:pPr>
              <w:jc w:val="center"/>
            </w:pPr>
            <w:r>
              <w:rPr>
                <w:rFonts w:ascii="Calibri" w:cs="Calibri" w:eastAsia="Calibri" w:hAnsi="Calibri"/>
                <w:color w:val="8A9BB0"/>
                <w:sz w:val="18"/>
                <w:szCs w:val="18"/>
              </w:rPr>
              <w:t xml:space="preserve">Author</w:t>
            </w:r>
          </w:p>
          <w:p>
            <w:pPr>
              <w:jc w:val="center"/>
            </w:pPr>
            <w:r>
              <w:rPr>
                <w:rFonts w:ascii="Calibri" w:cs="Calibri" w:eastAsia="Calibri" w:hAnsi="Calibri"/>
                <w:b/>
                <w:bCs/>
                <w:color w:val="0A1628"/>
                <w:sz w:val="22"/>
                <w:szCs w:val="22"/>
              </w:rPr>
              <w:t xml:space="preserve">Mandeep Sharma</w:t>
            </w:r>
          </w:p>
        </w:tc>
        <w:tc>
          <w:tcPr>
            <w:tcBorders>
              <w:top w:val="single" w:color="E0E6ED" w:sz="4"/>
              <w:left w:val="single" w:color="E0E6ED" w:sz="4"/>
              <w:bottom w:val="single" w:color="E0E6ED" w:sz="4"/>
              <w:right w:val="single" w:color="E0E6ED" w:sz="4"/>
            </w:tcBorders>
            <w:shd w:fill="E8FAF4" w:val="clear"/>
            <w:tcMar>
              <w:top w:type="dxa" w:w="160"/>
              <w:left w:type="dxa" w:w="200"/>
              <w:bottom w:type="dxa" w:w="160"/>
              <w:right w:type="dxa" w:w="200"/>
            </w:tcMar>
          </w:tcPr>
          <w:p>
            <w:pPr>
              <w:jc w:val="center"/>
            </w:pPr>
            <w:r>
              <w:rPr>
                <w:rFonts w:ascii="Calibri" w:cs="Calibri" w:eastAsia="Calibri" w:hAnsi="Calibri"/>
                <w:color w:val="8A9BB0"/>
                <w:sz w:val="18"/>
                <w:szCs w:val="18"/>
              </w:rPr>
              <w:t xml:space="preserve">Date</w:t>
            </w:r>
          </w:p>
          <w:p>
            <w:pPr>
              <w:jc w:val="center"/>
            </w:pPr>
            <w:r>
              <w:rPr>
                <w:rFonts w:ascii="Calibri" w:cs="Calibri" w:eastAsia="Calibri" w:hAnsi="Calibri"/>
                <w:b/>
                <w:bCs/>
                <w:color w:val="0A1628"/>
                <w:sz w:val="22"/>
                <w:szCs w:val="22"/>
              </w:rPr>
              <w:t xml:space="preserve">March 2026</w:t>
            </w:r>
          </w:p>
        </w:tc>
        <w:tc>
          <w:tcPr>
            <w:tcBorders>
              <w:top w:val="single" w:color="E0E6ED" w:sz="4"/>
              <w:left w:val="single" w:color="E0E6ED" w:sz="4"/>
              <w:bottom w:val="single" w:color="E0E6ED" w:sz="4"/>
              <w:right w:val="single" w:color="E0E6ED" w:sz="4"/>
            </w:tcBorders>
            <w:shd w:fill="E8FAF4" w:val="clear"/>
            <w:tcMar>
              <w:top w:type="dxa" w:w="160"/>
              <w:left w:type="dxa" w:w="200"/>
              <w:bottom w:type="dxa" w:w="160"/>
              <w:right w:type="dxa" w:w="200"/>
            </w:tcMar>
          </w:tcPr>
          <w:p>
            <w:pPr>
              <w:jc w:val="center"/>
            </w:pPr>
            <w:r>
              <w:rPr>
                <w:rFonts w:ascii="Calibri" w:cs="Calibri" w:eastAsia="Calibri" w:hAnsi="Calibri"/>
                <w:color w:val="8A9BB0"/>
                <w:sz w:val="18"/>
                <w:szCs w:val="18"/>
              </w:rPr>
              <w:t xml:space="preserve">Version</w:t>
            </w:r>
          </w:p>
          <w:p>
            <w:pPr>
              <w:jc w:val="center"/>
            </w:pPr>
            <w:r>
              <w:rPr>
                <w:rFonts w:ascii="Calibri" w:cs="Calibri" w:eastAsia="Calibri" w:hAnsi="Calibri"/>
                <w:b/>
                <w:bCs/>
                <w:color w:val="E24B4A"/>
                <w:sz w:val="22"/>
                <w:szCs w:val="22"/>
              </w:rPr>
              <w:t xml:space="preserve">v5.0  |  CONFIDENTIAL</w:t>
            </w:r>
          </w:p>
        </w:tc>
      </w:tr>
    </w:tbl>
    <w:p>
      <w:pPr>
        <w:spacing w:after="320"/>
      </w:pPr>
    </w:p>
    <w:p>
      <w:pPr>
        <w:jc w:val="center"/>
      </w:pPr>
      <w:r>
        <w:rPr>
          <w:rFonts w:ascii="Calibri" w:cs="Calibri" w:eastAsia="Calibri" w:hAnsi="Calibri"/>
          <w:i/>
          <w:iCs/>
          <w:color w:val="8A9BB0"/>
          <w:sz w:val="18"/>
          <w:szCs w:val="18"/>
        </w:rPr>
        <w:t xml:space="preserve">Copyright © 2026 Mandeep Sharma. All rights reserved.</w:t>
      </w: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Table of Contents</w:t>
      </w:r>
    </w:p>
    <w:p>
      <w:pPr>
        <w:spacing w:after="80"/>
      </w:pPr>
      <w:r>
        <w:rPr>
          <w:rFonts w:ascii="Calibri" w:cs="Calibri" w:eastAsia="Calibri" w:hAnsi="Calibri"/>
          <w:color w:val="2D3748"/>
          <w:sz w:val="22"/>
          <w:szCs w:val="22"/>
        </w:rPr>
        <w:t xml:space="preserve">1.  Executive Summary</w:t>
      </w:r>
      <w:r>
        <w:rPr>
          <w:rFonts w:ascii="Calibri" w:cs="Calibri" w:eastAsia="Calibri" w:hAnsi="Calibri"/>
          <w:color w:val="8A9BB0"/>
          <w:sz w:val="22"/>
          <w:szCs w:val="22"/>
        </w:rPr>
        <w:t xml:space="preserve">  ····························································  3</w:t>
      </w:r>
    </w:p>
    <w:p>
      <w:pPr>
        <w:spacing w:after="80"/>
      </w:pPr>
      <w:r>
        <w:rPr>
          <w:rFonts w:ascii="Calibri" w:cs="Calibri" w:eastAsia="Calibri" w:hAnsi="Calibri"/>
          <w:color w:val="2D3748"/>
          <w:sz w:val="22"/>
          <w:szCs w:val="22"/>
        </w:rPr>
        <w:t xml:space="preserve">2.  Problem Statement</w:t>
      </w:r>
      <w:r>
        <w:rPr>
          <w:rFonts w:ascii="Calibri" w:cs="Calibri" w:eastAsia="Calibri" w:hAnsi="Calibri"/>
          <w:color w:val="8A9BB0"/>
          <w:sz w:val="22"/>
          <w:szCs w:val="22"/>
        </w:rPr>
        <w:t xml:space="preserve">  ····························································  3</w:t>
      </w:r>
    </w:p>
    <w:p>
      <w:pPr>
        <w:spacing w:after="80"/>
      </w:pPr>
      <w:r>
        <w:rPr>
          <w:rFonts w:ascii="Calibri" w:cs="Calibri" w:eastAsia="Calibri" w:hAnsi="Calibri"/>
          <w:color w:val="2D3748"/>
          <w:sz w:val="22"/>
          <w:szCs w:val="22"/>
        </w:rPr>
        <w:t xml:space="preserve">3.  Solution Overview</w:t>
      </w:r>
      <w:r>
        <w:rPr>
          <w:rFonts w:ascii="Calibri" w:cs="Calibri" w:eastAsia="Calibri" w:hAnsi="Calibri"/>
          <w:color w:val="8A9BB0"/>
          <w:sz w:val="22"/>
          <w:szCs w:val="22"/>
        </w:rPr>
        <w:t xml:space="preserve">  ····························································  4</w:t>
      </w:r>
    </w:p>
    <w:p>
      <w:pPr>
        <w:spacing w:after="80"/>
      </w:pPr>
      <w:r>
        <w:rPr>
          <w:rFonts w:ascii="Calibri" w:cs="Calibri" w:eastAsia="Calibri" w:hAnsi="Calibri"/>
          <w:color w:val="2D3748"/>
          <w:sz w:val="22"/>
          <w:szCs w:val="22"/>
        </w:rPr>
        <w:t xml:space="preserve">4.  ML Approach &amp; Methodology</w:t>
      </w:r>
      <w:r>
        <w:rPr>
          <w:rFonts w:ascii="Calibri" w:cs="Calibri" w:eastAsia="Calibri" w:hAnsi="Calibri"/>
          <w:color w:val="8A9BB0"/>
          <w:sz w:val="22"/>
          <w:szCs w:val="22"/>
        </w:rPr>
        <w:t xml:space="preserve">  ····························································  5</w:t>
      </w:r>
    </w:p>
    <w:p>
      <w:pPr>
        <w:spacing w:after="80"/>
      </w:pPr>
      <w:r>
        <w:rPr>
          <w:rFonts w:ascii="Calibri" w:cs="Calibri" w:eastAsia="Calibri" w:hAnsi="Calibri"/>
          <w:color w:val="2D3748"/>
          <w:sz w:val="22"/>
          <w:szCs w:val="22"/>
        </w:rPr>
        <w:t xml:space="preserve">5.  Algorithm Selection &amp; Comparison</w:t>
      </w:r>
      <w:r>
        <w:rPr>
          <w:rFonts w:ascii="Calibri" w:cs="Calibri" w:eastAsia="Calibri" w:hAnsi="Calibri"/>
          <w:color w:val="8A9BB0"/>
          <w:sz w:val="22"/>
          <w:szCs w:val="22"/>
        </w:rPr>
        <w:t xml:space="preserve">  ····························································  6</w:t>
      </w:r>
    </w:p>
    <w:p>
      <w:pPr>
        <w:spacing w:after="80"/>
      </w:pPr>
      <w:r>
        <w:rPr>
          <w:rFonts w:ascii="Calibri" w:cs="Calibri" w:eastAsia="Calibri" w:hAnsi="Calibri"/>
          <w:color w:val="2D3748"/>
          <w:sz w:val="22"/>
          <w:szCs w:val="22"/>
        </w:rPr>
        <w:t xml:space="preserve">6.  Feature Engineering</w:t>
      </w:r>
      <w:r>
        <w:rPr>
          <w:rFonts w:ascii="Calibri" w:cs="Calibri" w:eastAsia="Calibri" w:hAnsi="Calibri"/>
          <w:color w:val="8A9BB0"/>
          <w:sz w:val="22"/>
          <w:szCs w:val="22"/>
        </w:rPr>
        <w:t xml:space="preserve">  ····························································  7</w:t>
      </w:r>
    </w:p>
    <w:p>
      <w:pPr>
        <w:spacing w:after="80"/>
      </w:pPr>
      <w:r>
        <w:rPr>
          <w:rFonts w:ascii="Calibri" w:cs="Calibri" w:eastAsia="Calibri" w:hAnsi="Calibri"/>
          <w:color w:val="2D3748"/>
          <w:sz w:val="22"/>
          <w:szCs w:val="22"/>
        </w:rPr>
        <w:t xml:space="preserve">7.  Hard Underwriting Rules</w:t>
      </w:r>
      <w:r>
        <w:rPr>
          <w:rFonts w:ascii="Calibri" w:cs="Calibri" w:eastAsia="Calibri" w:hAnsi="Calibri"/>
          <w:color w:val="8A9BB0"/>
          <w:sz w:val="22"/>
          <w:szCs w:val="22"/>
        </w:rPr>
        <w:t xml:space="preserve">  ····························································  8</w:t>
      </w:r>
    </w:p>
    <w:p>
      <w:pPr>
        <w:spacing w:after="80"/>
      </w:pPr>
      <w:r>
        <w:rPr>
          <w:rFonts w:ascii="Calibri" w:cs="Calibri" w:eastAsia="Calibri" w:hAnsi="Calibri"/>
          <w:color w:val="2D3748"/>
          <w:sz w:val="22"/>
          <w:szCs w:val="22"/>
        </w:rPr>
        <w:t xml:space="preserve">8.  System Architecture</w:t>
      </w:r>
      <w:r>
        <w:rPr>
          <w:rFonts w:ascii="Calibri" w:cs="Calibri" w:eastAsia="Calibri" w:hAnsi="Calibri"/>
          <w:color w:val="8A9BB0"/>
          <w:sz w:val="22"/>
          <w:szCs w:val="22"/>
        </w:rPr>
        <w:t xml:space="preserve">  ····························································  8</w:t>
      </w:r>
    </w:p>
    <w:p>
      <w:pPr>
        <w:spacing w:after="80"/>
      </w:pPr>
      <w:r>
        <w:rPr>
          <w:rFonts w:ascii="Calibri" w:cs="Calibri" w:eastAsia="Calibri" w:hAnsi="Calibri"/>
          <w:color w:val="2D3748"/>
          <w:sz w:val="22"/>
          <w:szCs w:val="22"/>
        </w:rPr>
        <w:t xml:space="preserve">9.  Performance Results &amp; Analysis</w:t>
      </w:r>
      <w:r>
        <w:rPr>
          <w:rFonts w:ascii="Calibri" w:cs="Calibri" w:eastAsia="Calibri" w:hAnsi="Calibri"/>
          <w:color w:val="8A9BB0"/>
          <w:sz w:val="22"/>
          <w:szCs w:val="22"/>
        </w:rPr>
        <w:t xml:space="preserve">  ····························································  9</w:t>
      </w:r>
    </w:p>
    <w:p>
      <w:pPr>
        <w:spacing w:after="80"/>
      </w:pPr>
      <w:r>
        <w:rPr>
          <w:rFonts w:ascii="Calibri" w:cs="Calibri" w:eastAsia="Calibri" w:hAnsi="Calibri"/>
          <w:color w:val="2D3748"/>
          <w:sz w:val="22"/>
          <w:szCs w:val="22"/>
        </w:rPr>
        <w:t xml:space="preserve">10.  Business Impact &amp; ROI</w:t>
      </w:r>
      <w:r>
        <w:rPr>
          <w:rFonts w:ascii="Calibri" w:cs="Calibri" w:eastAsia="Calibri" w:hAnsi="Calibri"/>
          <w:color w:val="8A9BB0"/>
          <w:sz w:val="22"/>
          <w:szCs w:val="22"/>
        </w:rPr>
        <w:t xml:space="preserve">  ····························································  10</w:t>
      </w:r>
    </w:p>
    <w:p>
      <w:pPr>
        <w:spacing w:after="80"/>
      </w:pPr>
      <w:r>
        <w:rPr>
          <w:rFonts w:ascii="Calibri" w:cs="Calibri" w:eastAsia="Calibri" w:hAnsi="Calibri"/>
          <w:color w:val="2D3748"/>
          <w:sz w:val="22"/>
          <w:szCs w:val="22"/>
        </w:rPr>
        <w:t xml:space="preserve">11.  Competitive Advantage</w:t>
      </w:r>
      <w:r>
        <w:rPr>
          <w:rFonts w:ascii="Calibri" w:cs="Calibri" w:eastAsia="Calibri" w:hAnsi="Calibri"/>
          <w:color w:val="8A9BB0"/>
          <w:sz w:val="22"/>
          <w:szCs w:val="22"/>
        </w:rPr>
        <w:t xml:space="preserve">  ····························································  11</w:t>
      </w:r>
    </w:p>
    <w:p>
      <w:pPr>
        <w:spacing w:after="80"/>
      </w:pPr>
      <w:r>
        <w:rPr>
          <w:rFonts w:ascii="Calibri" w:cs="Calibri" w:eastAsia="Calibri" w:hAnsi="Calibri"/>
          <w:color w:val="2D3748"/>
          <w:sz w:val="22"/>
          <w:szCs w:val="22"/>
        </w:rPr>
        <w:t xml:space="preserve">12.  Interest Rate Intelligence</w:t>
      </w:r>
      <w:r>
        <w:rPr>
          <w:rFonts w:ascii="Calibri" w:cs="Calibri" w:eastAsia="Calibri" w:hAnsi="Calibri"/>
          <w:color w:val="8A9BB0"/>
          <w:sz w:val="22"/>
          <w:szCs w:val="22"/>
        </w:rPr>
        <w:t xml:space="preserve">  ····························································  12</w:t>
      </w:r>
    </w:p>
    <w:p>
      <w:pPr>
        <w:spacing w:after="80"/>
      </w:pPr>
      <w:r>
        <w:rPr>
          <w:rFonts w:ascii="Calibri" w:cs="Calibri" w:eastAsia="Calibri" w:hAnsi="Calibri"/>
          <w:color w:val="2D3748"/>
          <w:sz w:val="22"/>
          <w:szCs w:val="22"/>
        </w:rPr>
        <w:t xml:space="preserve">13.  Deployment Strategy</w:t>
      </w:r>
      <w:r>
        <w:rPr>
          <w:rFonts w:ascii="Calibri" w:cs="Calibri" w:eastAsia="Calibri" w:hAnsi="Calibri"/>
          <w:color w:val="8A9BB0"/>
          <w:sz w:val="22"/>
          <w:szCs w:val="22"/>
        </w:rPr>
        <w:t xml:space="preserve">  ····························································  12</w:t>
      </w:r>
    </w:p>
    <w:p>
      <w:pPr>
        <w:spacing w:after="80"/>
      </w:pPr>
      <w:r>
        <w:rPr>
          <w:rFonts w:ascii="Calibri" w:cs="Calibri" w:eastAsia="Calibri" w:hAnsi="Calibri"/>
          <w:color w:val="2D3748"/>
          <w:sz w:val="22"/>
          <w:szCs w:val="22"/>
        </w:rPr>
        <w:t xml:space="preserve">14.  Future Roadmap</w:t>
      </w:r>
      <w:r>
        <w:rPr>
          <w:rFonts w:ascii="Calibri" w:cs="Calibri" w:eastAsia="Calibri" w:hAnsi="Calibri"/>
          <w:color w:val="8A9BB0"/>
          <w:sz w:val="22"/>
          <w:szCs w:val="22"/>
        </w:rPr>
        <w:t xml:space="preserve">  ····························································  13</w:t>
      </w:r>
    </w:p>
    <w:p>
      <w:pPr>
        <w:spacing w:after="80"/>
      </w:pPr>
      <w:r>
        <w:rPr>
          <w:rFonts w:ascii="Calibri" w:cs="Calibri" w:eastAsia="Calibri" w:hAnsi="Calibri"/>
          <w:color w:val="2D3748"/>
          <w:sz w:val="22"/>
          <w:szCs w:val="22"/>
        </w:rPr>
        <w:t xml:space="preserve">15.  Abbreviations &amp; Glossary</w:t>
      </w:r>
      <w:r>
        <w:rPr>
          <w:rFonts w:ascii="Calibri" w:cs="Calibri" w:eastAsia="Calibri" w:hAnsi="Calibri"/>
          <w:color w:val="8A9BB0"/>
          <w:sz w:val="22"/>
          <w:szCs w:val="22"/>
        </w:rPr>
        <w:t xml:space="preserve">  ····························································  14</w:t>
      </w: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 Executive Summary</w:t>
      </w:r>
    </w:p>
    <w:p>
      <w:pPr>
        <w:spacing w:after="120"/>
        <w:jc w:val="both"/>
      </w:pPr>
      <w:r>
        <w:rPr>
          <w:rFonts w:ascii="Calibri" w:cs="Calibri" w:eastAsia="Calibri" w:hAnsi="Calibri"/>
          <w:color w:val="2D3748"/>
          <w:sz w:val="22"/>
          <w:szCs w:val="22"/>
        </w:rPr>
        <w:t xml:space="preserve">NexaVault Financial Corp serves thousands of loan applicants daily across personal and home loan categories. Until 2026, every application was evaluated manually by loan officers — a process that was slow (3–5 business days), inconsistent, and costly. This document presents the Intelligent Loan Approval System, a production-grade Machine Learning solution that replaces manual review with data-driven, auditable, sub-second decisions.</w:t>
      </w:r>
    </w:p>
    <w:p>
      <w:pPr>
        <w:spacing w:after="120"/>
        <w:jc w:val="both"/>
      </w:pPr>
      <w:r>
        <w:rPr>
          <w:rFonts w:ascii="Calibri" w:cs="Calibri" w:eastAsia="Calibri" w:hAnsi="Calibri"/>
          <w:color w:val="2D3748"/>
          <w:sz w:val="22"/>
          <w:szCs w:val="22"/>
        </w:rPr>
        <w:t xml:space="preserve">The system achieves 99.77% ROC-AUC accuracy, makes loan decisions in under 200 milliseconds, applies 9 hard underwriting rules that mirror real US lending standards, and returns an interest rate estimate alongside every approved decision. It was developed, tested, and deployed by Mandeep Sharma using Python, scikit-learn, Flask, and a standalone HTML dashboard — all running on NexaVault's existing infrastructure.</w:t>
      </w:r>
    </w:p>
    <w:p>
      <w:pPr>
        <w:spacing w:after="200"/>
      </w:pPr>
    </w:p>
    <w:p>
      <w:pPr>
        <w:pStyle w:val="Heading3"/>
        <w:spacing w:before="200" w:after="80"/>
      </w:pPr>
      <w:r>
        <w:rPr>
          <w:rFonts w:ascii="Calibri" w:cs="Calibri" w:eastAsia="Calibri" w:hAnsi="Calibri"/>
          <w:b/>
          <w:bCs/>
          <w:color w:val="2D3748"/>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Metric</w:t>
            </w:r>
          </w:p>
        </w:tc>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Value</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Model ROC-AUC (test set)</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99.77%</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Model F1 Score</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98.12%</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Decision Time</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028090"/>
                <w:sz w:val="22"/>
                <w:szCs w:val="22"/>
              </w:rPr>
              <w:t xml:space="preserve">&lt; 200 milliseconds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Training Records</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2D3748"/>
                <w:sz w:val="22"/>
                <w:szCs w:val="22"/>
              </w:rPr>
              <w:t xml:space="preserve">2,000 historical applications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Features Used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2D3748"/>
                <w:sz w:val="22"/>
                <w:szCs w:val="22"/>
              </w:rPr>
              <w:t xml:space="preserve">24 raw → 41 engineered</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Hard Underwriting Gates</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E8A020"/>
                <w:sz w:val="22"/>
                <w:szCs w:val="22"/>
              </w:rPr>
              <w:t xml:space="preserve">9 business rules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Loan Products Covered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2D3748"/>
                <w:sz w:val="22"/>
                <w:szCs w:val="22"/>
              </w:rPr>
              <w:t xml:space="preserve">8 types (Home, Personal, Auto…)</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Credit Tiers Supported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2D3748"/>
                <w:sz w:val="22"/>
                <w:szCs w:val="22"/>
              </w:rPr>
              <w:t xml:space="preserve">7 (Experian model)</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Estimated Annual ROI</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$2.4M – $6.8M (modelled)</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Deployment</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028090"/>
                <w:sz w:val="22"/>
                <w:szCs w:val="22"/>
              </w:rPr>
              <w:t xml:space="preserve">Flask REST API + Docker + HTML Dashboard</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2. Problem Statement</w:t>
      </w:r>
    </w:p>
    <w:p>
      <w:pPr>
        <w:spacing w:after="120"/>
        <w:jc w:val="both"/>
      </w:pPr>
      <w:r>
        <w:rPr>
          <w:rFonts w:ascii="Calibri" w:cs="Calibri" w:eastAsia="Calibri" w:hAnsi="Calibri"/>
          <w:color w:val="2D3748"/>
          <w:sz w:val="22"/>
          <w:szCs w:val="22"/>
        </w:rPr>
        <w:t xml:space="preserve">NexaVault Financial Corp faces two symmetrical business problems that together represent millions of dollars in annual value destruction:</w:t>
      </w:r>
    </w:p>
    <w:p>
      <w:pPr>
        <w:spacing w:after="80"/>
      </w:pPr>
    </w:p>
    <w:p>
      <w:pPr>
        <w:pStyle w:val="Heading3"/>
        <w:spacing w:before="200" w:after="80"/>
      </w:pPr>
      <w:r>
        <w:rPr>
          <w:rFonts w:ascii="Calibri" w:cs="Calibri" w:eastAsia="Calibri" w:hAnsi="Calibri"/>
          <w:b/>
          <w:bCs/>
          <w:color w:val="2D3748"/>
          <w:sz w:val="24"/>
          <w:szCs w:val="24"/>
        </w:rPr>
        <w:t xml:space="preserve">2.1  Good Customers Incorrectly Rejected</w:t>
      </w:r>
    </w:p>
    <w:p>
      <w:pPr>
        <w:spacing w:after="120"/>
        <w:jc w:val="both"/>
      </w:pPr>
      <w:r>
        <w:rPr>
          <w:rFonts w:ascii="Calibri" w:cs="Calibri" w:eastAsia="Calibri" w:hAnsi="Calibri"/>
          <w:color w:val="2D3748"/>
          <w:sz w:val="22"/>
          <w:szCs w:val="22"/>
        </w:rPr>
        <w:t xml:space="preserve">Manual loan officers apply inconsistent heuristics. Creditworthy applicants — particularly self-employed individuals, recent graduates, and non-traditional income earners — are rejected at a disproportionate rate due to officer bias and inexperience. Industry estimates suggest 10–15% of declined applications in manual systems would have performed well. At NexaVault's volume, this represents significant lost origination revenue.</w:t>
      </w:r>
    </w:p>
    <w:p>
      <w:pPr>
        <w:pStyle w:val="Heading3"/>
        <w:spacing w:before="200" w:after="80"/>
      </w:pPr>
      <w:r>
        <w:rPr>
          <w:rFonts w:ascii="Calibri" w:cs="Calibri" w:eastAsia="Calibri" w:hAnsi="Calibri"/>
          <w:b/>
          <w:bCs/>
          <w:color w:val="2D3748"/>
          <w:sz w:val="24"/>
          <w:szCs w:val="24"/>
        </w:rPr>
        <w:t xml:space="preserve">2.2  High-Risk Customers Incorrectly Approved</w:t>
      </w:r>
    </w:p>
    <w:p>
      <w:pPr>
        <w:spacing w:after="120"/>
        <w:jc w:val="both"/>
      </w:pPr>
      <w:r>
        <w:rPr>
          <w:rFonts w:ascii="Calibri" w:cs="Calibri" w:eastAsia="Calibri" w:hAnsi="Calibri"/>
          <w:color w:val="2D3748"/>
          <w:sz w:val="22"/>
          <w:szCs w:val="22"/>
        </w:rPr>
        <w:t xml:space="preserve">Conversely, applicants skilled at presenting favourable documentation can receive approvals they should not. Bad loans generate defaults, write-offs, collections costs, and regulatory penalties. A single large bad loan can erase months of origination profit.</w:t>
      </w:r>
    </w:p>
    <w:p>
      <w:pPr>
        <w:pStyle w:val="Heading3"/>
        <w:spacing w:before="200" w:after="80"/>
      </w:pPr>
      <w:r>
        <w:rPr>
          <w:rFonts w:ascii="Calibri" w:cs="Calibri" w:eastAsia="Calibri" w:hAnsi="Calibri"/>
          <w:b/>
          <w:bCs/>
          <w:color w:val="2D3748"/>
          <w:sz w:val="24"/>
          <w:szCs w:val="24"/>
        </w:rPr>
        <w:t xml:space="preserve">2.3  Operational Inefficiency</w:t>
      </w:r>
    </w:p>
    <w:p>
      <w:pPr>
        <w:spacing w:after="120"/>
        <w:jc w:val="both"/>
      </w:pPr>
      <w:r>
        <w:rPr>
          <w:rFonts w:ascii="Calibri" w:cs="Calibri" w:eastAsia="Calibri" w:hAnsi="Calibri"/>
          <w:color w:val="2D3748"/>
          <w:sz w:val="22"/>
          <w:szCs w:val="22"/>
        </w:rPr>
        <w:t xml:space="preserve">Manual review requires trained loan officers working sequential queues. The process takes 3–5 business days per application, creating customer frustration and attrition to digital-first competitors who return decisions within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Problem Dimension</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Current State</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Impact</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Decision Time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3–5 business days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Customer churn to competitors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Consistency</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Varies by officer</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Regulatory &amp; fairness risk</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False Rejections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Est. 10–15% of applications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Lost origination revenue</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False Approvals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Unquantified — no audit trail</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Defaults &amp; write-offs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Cost per Decision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$45–$80 (officer time)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High operational cost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Scalability</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Linear — hire more officers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Cannot handle demand spikes</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3. Solution Overview</w:t>
      </w:r>
    </w:p>
    <w:p>
      <w:pPr>
        <w:spacing w:after="120"/>
        <w:jc w:val="both"/>
      </w:pPr>
      <w:r>
        <w:rPr>
          <w:rFonts w:ascii="Calibri" w:cs="Calibri" w:eastAsia="Calibri" w:hAnsi="Calibri"/>
          <w:color w:val="2D3748"/>
          <w:sz w:val="22"/>
          <w:szCs w:val="22"/>
        </w:rPr>
        <w:t xml:space="preserve">The NexaVault Intelligent Loan Approval System is a two-layer decision architecture: a set of hard business rules runs first (non-negotiable rejections that no model score can override), followed by a trained ML pipeline that scores the remaining applications and returns a probability, risk level, and interest rate estimate.</w:t>
      </w:r>
    </w:p>
    <w:p>
      <w:pPr>
        <w:spacing w:after="80"/>
      </w:pPr>
    </w:p>
    <w:p>
      <w:pPr>
        <w:pStyle w:val="Heading3"/>
        <w:spacing w:before="200" w:after="80"/>
      </w:pPr>
      <w:r>
        <w:rPr>
          <w:rFonts w:ascii="Calibri" w:cs="Calibri" w:eastAsia="Calibri" w:hAnsi="Calibri"/>
          <w:b/>
          <w:bCs/>
          <w:color w:val="2D3748"/>
          <w:sz w:val="24"/>
          <w:szCs w:val="24"/>
        </w:rPr>
        <w:t xml:space="preserve">3.1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Step</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Action</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Output</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Applicant submits 24-field application (web/branch/API)</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Raw application data</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 Hard Underwriting Gates evaluated (DTI, credit floor, bankruptcy)</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Pass or HARD REJECT with reasons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Feature Engineering: 17 derived features calculated</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41 total feature vector</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4</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sklearn Pipeline: imputation → scaling → encoding → model</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Approval probability 0–100%</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5</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Threshold logic: ≥65% Approved, 45–64% Manual Review, &lt;45% Rejected</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Decision + Risk Level</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Interest rate lookup: loan type × credit tier → 2026 market rate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APR + true amortized EMI</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7</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Response returned via Flask REST API (JSON)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Full decision package</w:t>
            </w:r>
          </w:p>
        </w:tc>
      </w:tr>
    </w:tbl>
    <w:p>
      <w:pPr>
        <w:spacing w:after="160"/>
      </w:pPr>
    </w:p>
    <w:p>
      <w:pPr>
        <w:pStyle w:val="Heading3"/>
        <w:spacing w:before="200" w:after="80"/>
      </w:pPr>
      <w:r>
        <w:rPr>
          <w:rFonts w:ascii="Calibri" w:cs="Calibri" w:eastAsia="Calibri" w:hAnsi="Calibri"/>
          <w:b/>
          <w:bCs/>
          <w:color w:val="2D3748"/>
          <w:sz w:val="24"/>
          <w:szCs w:val="24"/>
        </w:rPr>
        <w:t xml:space="preserve">3.2  Three-Tier Decision Output</w:t>
      </w:r>
    </w:p>
    <w:p>
      <w:pPr>
        <w:spacing w:after="120"/>
        <w:jc w:val="both"/>
      </w:pPr>
      <w:r>
        <w:rPr>
          <w:rFonts w:ascii="Calibri" w:cs="Calibri" w:eastAsia="Calibri" w:hAnsi="Calibri"/>
          <w:color w:val="2D3748"/>
          <w:sz w:val="22"/>
          <w:szCs w:val="22"/>
        </w:rPr>
        <w:t xml:space="preserve">Every application receives one of three outcomes, each with a full explanation package:</w:t>
      </w:r>
    </w:p>
    <w:p>
      <w:pPr>
        <w:pStyle w:val="ListParagraph"/>
        <w:numPr>
          <w:ilvl w:val="0"/>
          <w:numId w:val="2"/>
        </w:numPr>
        <w:spacing w:after="80"/>
      </w:pPr>
      <w:r>
        <w:rPr>
          <w:rFonts w:ascii="Calibri" w:cs="Calibri" w:eastAsia="Calibri" w:hAnsi="Calibri"/>
          <w:color w:val="2D3748"/>
          <w:sz w:val="22"/>
          <w:szCs w:val="22"/>
        </w:rPr>
        <w:t xml:space="preserve">✅  APPROVED — Probability ≥ 65%. Returns credit tier rate, true EMI at market APR, total interest cost over loan life, and income/EMI ratio.</w:t>
      </w:r>
    </w:p>
    <w:p>
      <w:pPr>
        <w:pStyle w:val="ListParagraph"/>
        <w:numPr>
          <w:ilvl w:val="0"/>
          <w:numId w:val="2"/>
        </w:numPr>
        <w:spacing w:after="80"/>
      </w:pPr>
      <w:r>
        <w:rPr>
          <w:rFonts w:ascii="Calibri" w:cs="Calibri" w:eastAsia="Calibri" w:hAnsi="Calibri"/>
          <w:color w:val="2D3748"/>
          <w:sz w:val="22"/>
          <w:szCs w:val="22"/>
        </w:rPr>
        <w:t xml:space="preserve">⏸  MANUAL REVIEW — Probability 45–64%, or borderline gate conditions (DTI 43–50%, poor credit + low down payment). Routed to a human underwriter with model score as context.</w:t>
      </w:r>
    </w:p>
    <w:p>
      <w:pPr>
        <w:pStyle w:val="ListParagraph"/>
        <w:numPr>
          <w:ilvl w:val="0"/>
          <w:numId w:val="2"/>
        </w:numPr>
        <w:spacing w:after="80"/>
      </w:pPr>
      <w:r>
        <w:rPr>
          <w:rFonts w:ascii="Calibri" w:cs="Calibri" w:eastAsia="Calibri" w:hAnsi="Calibri"/>
          <w:color w:val="2D3748"/>
          <w:sz w:val="22"/>
          <w:szCs w:val="22"/>
        </w:rPr>
        <w:t xml:space="preserve">❌  REJECTED — Probability &lt; 45%, or failed a hard gate. Returns the specific rejection reason(s) in plain English so the applicant understands exactly what to address.</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4. ML Approach &amp; Methodology</w:t>
      </w:r>
    </w:p>
    <w:p>
      <w:pPr>
        <w:pStyle w:val="Heading3"/>
        <w:spacing w:before="200" w:after="80"/>
      </w:pPr>
      <w:r>
        <w:rPr>
          <w:rFonts w:ascii="Calibri" w:cs="Calibri" w:eastAsia="Calibri" w:hAnsi="Calibri"/>
          <w:b/>
          <w:bCs/>
          <w:color w:val="2D3748"/>
          <w:sz w:val="24"/>
          <w:szCs w:val="24"/>
        </w:rPr>
        <w:t xml:space="preserve">4.1  Data</w:t>
      </w:r>
    </w:p>
    <w:p>
      <w:pPr>
        <w:spacing w:after="120"/>
        <w:jc w:val="both"/>
      </w:pPr>
      <w:r>
        <w:rPr>
          <w:rFonts w:ascii="Calibri" w:cs="Calibri" w:eastAsia="Calibri" w:hAnsi="Calibri"/>
          <w:color w:val="2D3748"/>
          <w:sz w:val="22"/>
          <w:szCs w:val="22"/>
        </w:rPr>
        <w:t xml:space="preserve">The system was trained on 2,000 synthetic loan applications generated with realistic US income distributions, Experian credit tier distributions, and real lending approval logic. Key design decisions:</w:t>
      </w:r>
    </w:p>
    <w:p>
      <w:pPr>
        <w:pStyle w:val="ListParagraph"/>
        <w:numPr>
          <w:ilvl w:val="0"/>
          <w:numId w:val="2"/>
        </w:numPr>
        <w:spacing w:after="80"/>
      </w:pPr>
      <w:r>
        <w:rPr>
          <w:rFonts w:ascii="Calibri" w:cs="Calibri" w:eastAsia="Calibri" w:hAnsi="Calibri"/>
          <w:color w:val="2D3748"/>
          <w:sz w:val="22"/>
          <w:szCs w:val="22"/>
        </w:rPr>
        <w:t xml:space="preserve">Loan amounts are independent of income — applicants choose the loan size; income determines affordability. An earlier version incorrectly derived loan amounts from income, causing the model to learn inverted signals (high income → high loan → reject).</w:t>
      </w:r>
    </w:p>
    <w:p>
      <w:pPr>
        <w:pStyle w:val="ListParagraph"/>
        <w:numPr>
          <w:ilvl w:val="0"/>
          <w:numId w:val="2"/>
        </w:numPr>
        <w:spacing w:after="80"/>
      </w:pPr>
      <w:r>
        <w:rPr>
          <w:rFonts w:ascii="Calibri" w:cs="Calibri" w:eastAsia="Calibri" w:hAnsi="Calibri"/>
          <w:color w:val="2D3748"/>
          <w:sz w:val="22"/>
          <w:szCs w:val="22"/>
        </w:rPr>
        <w:t xml:space="preserve">Monthly debt obligations range from $0 to $10,000 in 14 granular steps to capture the full spectrum of debt burden.</w:t>
      </w:r>
    </w:p>
    <w:p>
      <w:pPr>
        <w:pStyle w:val="ListParagraph"/>
        <w:numPr>
          <w:ilvl w:val="0"/>
          <w:numId w:val="2"/>
        </w:numPr>
        <w:spacing w:after="80"/>
      </w:pPr>
      <w:r>
        <w:rPr>
          <w:rFonts w:ascii="Calibri" w:cs="Calibri" w:eastAsia="Calibri" w:hAnsi="Calibri"/>
          <w:color w:val="2D3748"/>
          <w:sz w:val="22"/>
          <w:szCs w:val="22"/>
        </w:rPr>
        <w:t xml:space="preserve">Training labels are generated using a realistic weighted scoring formula mirroring CFPB and FHA underwriting guidelines, ensuring the model learns real lending logic rather than arbitrary patterns.</w:t>
      </w:r>
    </w:p>
    <w:p>
      <w:pPr>
        <w:spacing w:after="80"/>
      </w:pPr>
    </w:p>
    <w:p>
      <w:pPr>
        <w:pStyle w:val="Heading3"/>
        <w:spacing w:before="200" w:after="80"/>
      </w:pPr>
      <w:r>
        <w:rPr>
          <w:rFonts w:ascii="Calibri" w:cs="Calibri" w:eastAsia="Calibri" w:hAnsi="Calibri"/>
          <w:b/>
          <w:bCs/>
          <w:color w:val="2D3748"/>
          <w:sz w:val="24"/>
          <w:szCs w:val="24"/>
        </w:rPr>
        <w:t xml:space="preserve">4.2  Pipeline Architecture</w:t>
      </w:r>
    </w:p>
    <w:p>
      <w:pPr>
        <w:spacing w:after="120"/>
        <w:jc w:val="both"/>
      </w:pPr>
      <w:r>
        <w:rPr>
          <w:rFonts w:ascii="Calibri" w:cs="Calibri" w:eastAsia="Calibri" w:hAnsi="Calibri"/>
          <w:color w:val="2D3748"/>
          <w:sz w:val="22"/>
          <w:szCs w:val="22"/>
        </w:rPr>
        <w:t xml:space="preserve">All transformations are encapsulated in a scikit-learn Pipeline — a single serialisable object that applies identical transformations at training time and inference time, preventing data leakage and ensuring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Pipeline Stage</w:t>
            </w:r>
          </w:p>
        </w:tc>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Details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ColumnTransformer</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Routes numerical and categorical features to different sub-pipelines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Numerical: SimpleImputer</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Replaces missing values with the column median (robust to outliers)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Numerical: StandardScaler</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Normalises to mean=0, std=1 — essential for SVM and LR</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Categorical: SimpleImputer</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Replaces missing categories with the column mode</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Categorical: OneHotEncoder</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Converts text categories to binary columns; handle_unknown='ignore' for robustness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Classifier</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Best model from 5-fold CV selection (Gradient Boosting in v5.0)</w:t>
            </w:r>
          </w:p>
        </w:tc>
      </w:tr>
    </w:tbl>
    <w:p>
      <w:pPr>
        <w:spacing w:after="80"/>
      </w:pPr>
    </w:p>
    <w:p>
      <w:pPr>
        <w:pStyle w:val="Heading3"/>
        <w:spacing w:before="200" w:after="80"/>
      </w:pPr>
      <w:r>
        <w:rPr>
          <w:rFonts w:ascii="Calibri" w:cs="Calibri" w:eastAsia="Calibri" w:hAnsi="Calibri"/>
          <w:b/>
          <w:bCs/>
          <w:color w:val="2D3748"/>
          <w:sz w:val="24"/>
          <w:szCs w:val="24"/>
        </w:rPr>
        <w:t xml:space="preserve">4.3  Validation Strategy</w:t>
      </w:r>
    </w:p>
    <w:p>
      <w:pPr>
        <w:spacing w:after="120"/>
        <w:jc w:val="both"/>
      </w:pPr>
      <w:r>
        <w:rPr>
          <w:rFonts w:ascii="Calibri" w:cs="Calibri" w:eastAsia="Calibri" w:hAnsi="Calibri"/>
          <w:color w:val="2D3748"/>
          <w:sz w:val="22"/>
          <w:szCs w:val="22"/>
        </w:rPr>
        <w:t xml:space="preserve">5-fold Stratified Cross-Validation is used throughout. Stratified means each fold preserves the same Approved/Rejected class ratio as the full dataset, preventing fold-level imbalance from distorting performance estimates. The primary metric is ROC-AUC rather than accuracy, because accuracy is misleading when classes are imbalanced — a model that always predicts 'Approved' would achieve 66% accuracy on this dataset but would be useless.</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5. Algorithm Selection &amp; Comparison</w:t>
      </w:r>
    </w:p>
    <w:p>
      <w:pPr>
        <w:spacing w:after="120"/>
        <w:jc w:val="both"/>
      </w:pPr>
      <w:r>
        <w:rPr>
          <w:rFonts w:ascii="Calibri" w:cs="Calibri" w:eastAsia="Calibri" w:hAnsi="Calibri"/>
          <w:color w:val="2D3748"/>
          <w:sz w:val="22"/>
          <w:szCs w:val="22"/>
        </w:rPr>
        <w:t xml:space="preserve">Four algorithms were evaluated. Each was trained on the same 80% training split and evaluated on the same 20% holdout test set to ensure a fair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rPr>
          <w:tblHeader/>
        </w:trPr>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Model</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CV AUC</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Test AUC</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F1</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Precision</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Recall</w:t>
            </w:r>
          </w:p>
        </w:tc>
        <w:tc>
          <w:tcPr>
            <w:tcW w:type="dxa" w:w="1337"/>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Accuracy</w:t>
            </w:r>
          </w:p>
        </w:tc>
      </w:tr>
      <w:tr>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Gradient Boosting ★</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99.44%</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99.77%</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98.12%</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97.8%</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98.5%</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98.9%</w:t>
            </w:r>
          </w:p>
        </w:tc>
      </w:tr>
      <w:tr>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Logistic Regression</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98.23%</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99.03%</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96.42%</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95.9%</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97.0%</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97.5%</w:t>
            </w:r>
          </w:p>
        </w:tc>
      </w:tr>
      <w:tr>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SVM (RBF kernel)</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98.52%</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98.90%</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96.63%</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96.1%</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97.2%</w:t>
            </w:r>
          </w:p>
        </w:tc>
        <w:tc>
          <w:tcPr>
            <w:tcW w:type="dxa" w:w="1337"/>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97.7%</w:t>
            </w:r>
          </w:p>
        </w:tc>
      </w:tr>
      <w:tr>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Random Forest</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97.89%</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97.65%</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94.50%</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94.2%</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94.8%</w:t>
            </w:r>
          </w:p>
        </w:tc>
        <w:tc>
          <w:tcPr>
            <w:tcW w:type="dxa" w:w="1337"/>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96.2%</w:t>
            </w:r>
          </w:p>
        </w:tc>
      </w:tr>
    </w:tbl>
    <w:p>
      <w:pPr>
        <w:spacing w:after="160"/>
      </w:pPr>
    </w:p>
    <w:p>
      <w:pPr>
        <w:pStyle w:val="Heading3"/>
        <w:spacing w:before="200" w:after="80"/>
      </w:pPr>
      <w:r>
        <w:rPr>
          <w:rFonts w:ascii="Calibri" w:cs="Calibri" w:eastAsia="Calibri" w:hAnsi="Calibri"/>
          <w:b/>
          <w:bCs/>
          <w:color w:val="2D3748"/>
          <w:sz w:val="24"/>
          <w:szCs w:val="24"/>
        </w:rPr>
        <w:t xml:space="preserve">5.1  Why Gradient Boosting Wins</w:t>
      </w:r>
    </w:p>
    <w:p>
      <w:pPr>
        <w:pStyle w:val="ListParagraph"/>
        <w:numPr>
          <w:ilvl w:val="0"/>
          <w:numId w:val="2"/>
        </w:numPr>
        <w:spacing w:after="80"/>
      </w:pPr>
      <w:r>
        <w:rPr>
          <w:rFonts w:ascii="Calibri" w:cs="Calibri" w:eastAsia="Calibri" w:hAnsi="Calibri"/>
          <w:color w:val="2D3748"/>
          <w:sz w:val="22"/>
          <w:szCs w:val="22"/>
        </w:rPr>
        <w:t xml:space="preserve">Gradient Boosting builds trees sequentially, each correcting the residual errors of the previous — this iterative error-correction is highly effective on structured tabular data like loan applications.</w:t>
      </w:r>
    </w:p>
    <w:p>
      <w:pPr>
        <w:pStyle w:val="ListParagraph"/>
        <w:numPr>
          <w:ilvl w:val="0"/>
          <w:numId w:val="2"/>
        </w:numPr>
        <w:spacing w:after="80"/>
      </w:pPr>
      <w:r>
        <w:rPr>
          <w:rFonts w:ascii="Calibri" w:cs="Calibri" w:eastAsia="Calibri" w:hAnsi="Calibri"/>
          <w:color w:val="2D3748"/>
          <w:sz w:val="22"/>
          <w:szCs w:val="22"/>
        </w:rPr>
        <w:t xml:space="preserve">It naturally captures non-linear interactions (e.g., 'high income is good, but not if DTI is also very high') without feature crosses needing to be explicitly engineered.</w:t>
      </w:r>
    </w:p>
    <w:p>
      <w:pPr>
        <w:pStyle w:val="ListParagraph"/>
        <w:numPr>
          <w:ilvl w:val="0"/>
          <w:numId w:val="2"/>
        </w:numPr>
        <w:spacing w:after="80"/>
      </w:pPr>
      <w:r>
        <w:rPr>
          <w:rFonts w:ascii="Calibri" w:cs="Calibri" w:eastAsia="Calibri" w:hAnsi="Calibri"/>
          <w:color w:val="2D3748"/>
          <w:sz w:val="22"/>
          <w:szCs w:val="22"/>
        </w:rPr>
        <w:t xml:space="preserve">Native feature importance scores are available, supporting regulatory explainability requirements.</w:t>
      </w:r>
    </w:p>
    <w:p>
      <w:pPr>
        <w:pStyle w:val="ListParagraph"/>
        <w:numPr>
          <w:ilvl w:val="0"/>
          <w:numId w:val="2"/>
        </w:numPr>
        <w:spacing w:after="80"/>
      </w:pPr>
      <w:r>
        <w:rPr>
          <w:rFonts w:ascii="Calibri" w:cs="Calibri" w:eastAsia="Calibri" w:hAnsi="Calibri"/>
          <w:color w:val="2D3748"/>
          <w:sz w:val="22"/>
          <w:szCs w:val="22"/>
        </w:rPr>
        <w:t xml:space="preserve">With 300 trees at learning rate 0.05 and max depth 4, it achieves the best generalisation without overfitting.</w:t>
      </w:r>
    </w:p>
    <w:p>
      <w:pPr>
        <w:spacing w:after="80"/>
      </w:pPr>
    </w:p>
    <w:p>
      <w:pPr>
        <w:pStyle w:val="Heading3"/>
        <w:spacing w:before="200" w:after="80"/>
      </w:pPr>
      <w:r>
        <w:rPr>
          <w:rFonts w:ascii="Calibri" w:cs="Calibri" w:eastAsia="Calibri" w:hAnsi="Calibri"/>
          <w:b/>
          <w:bCs/>
          <w:color w:val="2D3748"/>
          <w:sz w:val="24"/>
          <w:szCs w:val="24"/>
        </w:rPr>
        <w:t xml:space="preserve">5.2  Why Other Models Were Retained</w:t>
      </w:r>
    </w:p>
    <w:p>
      <w:pPr>
        <w:spacing w:after="120"/>
        <w:jc w:val="both"/>
      </w:pPr>
      <w:r>
        <w:rPr>
          <w:rFonts w:ascii="Calibri" w:cs="Calibri" w:eastAsia="Calibri" w:hAnsi="Calibri"/>
          <w:color w:val="2D3748"/>
          <w:sz w:val="22"/>
          <w:szCs w:val="22"/>
        </w:rPr>
        <w:t xml:space="preserve">Logistic Regression serves as the interpretability baseline — its coefficients directly quantify each feature's marginal impact on the log-odds of approval. SVM is retained as a close second; for smaller or future deployment scenarios, its generalisation bounds are well-understood theoretically. Random Forest is retained for its natural resistance to outliers and stability.</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6. Feature Engineering</w:t>
      </w:r>
    </w:p>
    <w:p>
      <w:pPr>
        <w:spacing w:after="120"/>
        <w:jc w:val="both"/>
      </w:pPr>
      <w:r>
        <w:rPr>
          <w:rFonts w:ascii="Calibri" w:cs="Calibri" w:eastAsia="Calibri" w:hAnsi="Calibri"/>
          <w:color w:val="2D3748"/>
          <w:sz w:val="22"/>
          <w:szCs w:val="22"/>
        </w:rPr>
        <w:t xml:space="preserve">Feature engineering transforms 24 raw application fields into 41 model-ready features. This is the most important step in the pipeline — the model is only as good as the features it learns from.</w:t>
      </w:r>
    </w:p>
    <w:p>
      <w:pPr>
        <w:spacing w:after="80"/>
      </w:pPr>
    </w:p>
    <w:p>
      <w:pPr>
        <w:pStyle w:val="Heading3"/>
        <w:spacing w:before="200" w:after="80"/>
      </w:pPr>
      <w:r>
        <w:rPr>
          <w:rFonts w:ascii="Calibri" w:cs="Calibri" w:eastAsia="Calibri" w:hAnsi="Calibri"/>
          <w:b/>
          <w:bCs/>
          <w:color w:val="2D3748"/>
          <w:sz w:val="24"/>
          <w:szCs w:val="24"/>
        </w:rPr>
        <w:t xml:space="preserve">6.1  Derived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Feature</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Formula</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Why It Matters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Income / EMI Ratio</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Monthly income ÷ Monthly EMI</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Primary affordability signal. &gt; 3× = comfortable. &lt; 1.2× = instant reject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DTI Ratio</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(Debt + EMI) ÷ Monthly income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Standard CFPB/FHA rule. &lt; 36% ideal, &gt; 43% borderline, &gt; 50% reject</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Affordability Score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Net income ÷ EMI</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Residual income after existing obligations — real ability to pay</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Net Monthly Income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Monthly income − debt obligations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What is left before the new loan</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Loan to Income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Loan amount ÷ Annual income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Size of commitment relative to earnings. &gt; 10× = hard reject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Log(Total Income)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log(1 + Total income)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Normalises right-skewed income distribution for linear models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Log(Loan Amount)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log(1 + Loan amount K)</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Normalises loan distribution for better model convergence</w:t>
            </w:r>
          </w:p>
        </w:tc>
      </w:tr>
    </w:tbl>
    <w:p>
      <w:pPr>
        <w:spacing w:after="160"/>
      </w:pPr>
    </w:p>
    <w:p>
      <w:pPr>
        <w:pStyle w:val="Heading3"/>
        <w:spacing w:before="200" w:after="80"/>
      </w:pPr>
      <w:r>
        <w:rPr>
          <w:rFonts w:ascii="Calibri" w:cs="Calibri" w:eastAsia="Calibri" w:hAnsi="Calibri"/>
          <w:b/>
          <w:bCs/>
          <w:color w:val="2D3748"/>
          <w:sz w:val="24"/>
          <w:szCs w:val="24"/>
        </w:rPr>
        <w:t xml:space="preserve">6.2  Ordinal Encodings</w:t>
      </w:r>
    </w:p>
    <w:p>
      <w:pPr>
        <w:spacing w:after="120"/>
        <w:jc w:val="both"/>
      </w:pPr>
      <w:r>
        <w:rPr>
          <w:rFonts w:ascii="Calibri" w:cs="Calibri" w:eastAsia="Calibri" w:hAnsi="Calibri"/>
          <w:color w:val="2D3748"/>
          <w:sz w:val="22"/>
          <w:szCs w:val="22"/>
        </w:rPr>
        <w:t xml:space="preserve">Categorical fields with a natural order are converted to numeric scales rather than one-hot encoded, preserving ordinality and reducing dimensionality: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Field</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Mapping</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Scale</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Credit Tier (Experian)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Very Poor → Exceptional</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300 → 825</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Education</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 Education → Doctoral</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0 → 5</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Employment Status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Full-time/Gov → Unemployed</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0 (low risk) → 4 (high risk)</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Job Tenure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&lt; 6 months → 10+ years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0 → 5</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Bankruptcy History</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None → Active/Pending</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0 → 4</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Collateral Type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None/Unsecured → Real Estate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0 → 3</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Loan Type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Home Purchase → Personal Loan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0 (low risk) → 2 (high risk)</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7. Hard Underwriting Rules (Business Gates)</w:t>
      </w:r>
    </w:p>
    <w:p>
      <w:pPr>
        <w:spacing w:after="120"/>
        <w:jc w:val="both"/>
      </w:pPr>
      <w:r>
        <w:rPr>
          <w:rFonts w:ascii="Calibri" w:cs="Calibri" w:eastAsia="Calibri" w:hAnsi="Calibri"/>
          <w:color w:val="2D3748"/>
          <w:sz w:val="22"/>
          <w:szCs w:val="22"/>
        </w:rPr>
        <w:t xml:space="preserve">Nine absolute rules are evaluated before the ML model. These mirror real US lending regulations (CFPB Ability-to-Repay rule, FHA guidelines, ECOA). No model score — however high — can override a failed gate.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2600"/>
        <w:gridCol w:w="3640"/>
      </w:tblGrid>
      <w:tr>
        <w:trPr>
          <w:tblHeader/>
        </w:trPr>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Gate</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Threshold</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Regulatory Basis</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Debt-to-Income Ratio</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&gt; 50% → Hard Reject</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CFPB ATR Rule; FHA max 43%</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Income / EMI Ratio</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&lt; 1.20× → Hard Reject</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Minimum affordability standard</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Residual Income</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&lt; $200/mo → Hard Reject</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VA Residual Income Guidelines</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4</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Bankruptcy Status</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Active/Pending → Hard Reject</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11 U.S.C. § 362 automatic stay</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5</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Late Payment History</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4 in 2 years → Hard Reject</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Credit risk underwriting standard</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Minimum Credit Score</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499 → Hard Reject all loans</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Experian / industry minimum</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7</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Loan-to-Income Ratio</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&gt; 10× annual income → Hard Reject</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Debt serviceability limit</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8</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FHA Down Payment Rule</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Score 500–579 + &lt; 10% down + loan ≥ $100K → Manual Review</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FHA 4000.1 Handbook</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Elevated DTI</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43–50% → Manual Review cap</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Conventional QM guidelines</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8. System Architecture</w:t>
      </w:r>
    </w:p>
    <w:p>
      <w:pPr>
        <w:pStyle w:val="Heading3"/>
        <w:spacing w:before="200" w:after="80"/>
      </w:pPr>
      <w:r>
        <w:rPr>
          <w:rFonts w:ascii="Calibri" w:cs="Calibri" w:eastAsia="Calibri" w:hAnsi="Calibri"/>
          <w:b/>
          <w:bCs/>
          <w:color w:val="2D3748"/>
          <w:sz w:val="24"/>
          <w:szCs w:val="24"/>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ML Framework</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scikit-learn 1.8</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Model training, pipelines, evaluation</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Data Processing</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pandas 3.0, NumPy 2.4</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Feature engineering, data manipulation</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API Server</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Flask 3.1 (Python)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REST endpoints: /predict, /predict/batch</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Model Persistence</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joblib</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Serialise full sklearn pipeline</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Containerisation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Docker + docker-compose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Reproducible deployment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Dashboard</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Standalone HTML/JS (Chart.js)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No-server browser app</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Visualisation</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matplotlib 3.10, seaborn 0.13</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Notebook analysis charts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Notebook</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Jupyter (47 cells)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Interactive end-to-end walkthrough</w:t>
            </w:r>
          </w:p>
        </w:tc>
      </w:tr>
    </w:tbl>
    <w:p>
      <w:pPr>
        <w:spacing w:after="160"/>
      </w:pPr>
    </w:p>
    <w:p>
      <w:pPr>
        <w:pStyle w:val="Heading3"/>
        <w:spacing w:before="200" w:after="80"/>
      </w:pPr>
      <w:r>
        <w:rPr>
          <w:rFonts w:ascii="Calibri" w:cs="Calibri" w:eastAsia="Calibri" w:hAnsi="Calibri"/>
          <w:b/>
          <w:bCs/>
          <w:color w:val="2D3748"/>
          <w:sz w:val="24"/>
          <w:szCs w:val="24"/>
        </w:rPr>
        <w:t xml:space="preserve">8.2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Endpoint</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GET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/health</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Service health check, model load status, version</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POST</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/predict</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Single applicant → decision + rate + rejection reasons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POST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/predict/batch</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CSV upload → bulk predictions for portfolio analysis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GET</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/model/info</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Model type, feature list, version metadata</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9. Performance Results &amp; Analysis</w:t>
      </w:r>
    </w:p>
    <w:p>
      <w:pPr>
        <w:pStyle w:val="Heading3"/>
        <w:spacing w:before="200" w:after="80"/>
      </w:pPr>
      <w:r>
        <w:rPr>
          <w:rFonts w:ascii="Calibri" w:cs="Calibri" w:eastAsia="Calibri" w:hAnsi="Calibri"/>
          <w:b/>
          <w:bCs/>
          <w:color w:val="2D3748"/>
          <w:sz w:val="24"/>
          <w:szCs w:val="24"/>
        </w:rPr>
        <w:t xml:space="preserve">9.1  Model Metrics Summary</w:t>
      </w:r>
    </w:p>
    <w:p>
      <w:pPr>
        <w:spacing w:after="120"/>
        <w:jc w:val="both"/>
      </w:pPr>
      <w:r>
        <w:rPr>
          <w:rFonts w:ascii="Calibri" w:cs="Calibri" w:eastAsia="Calibri" w:hAnsi="Calibri"/>
          <w:color w:val="2D3748"/>
          <w:sz w:val="22"/>
          <w:szCs w:val="22"/>
        </w:rPr>
        <w:t xml:space="preserve">All metrics are computed on the 20% holdout test set (400 records) that the model never saw during training or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Metric</w:t>
            </w:r>
          </w:p>
        </w:tc>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Score</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ROC-AUC (primary metric)</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99.77%</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F1 Score (harmonic mean of Prec/Recall)</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98.12%</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Precision (of all Approved, % truly qualified)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028090"/>
                <w:sz w:val="22"/>
                <w:szCs w:val="22"/>
              </w:rPr>
              <w:t xml:space="preserve">97.8%</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Recall (of all qualified, % correctly approved)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028090"/>
                <w:sz w:val="22"/>
                <w:szCs w:val="22"/>
              </w:rPr>
              <w:t xml:space="preserve">98.5%</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Accuracy (overall correct decisions)</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028090"/>
                <w:sz w:val="22"/>
                <w:szCs w:val="22"/>
              </w:rPr>
              <w:t xml:space="preserve">98.9%</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5-Fold CV AUC (generalisation estimate)</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2D3748"/>
                <w:sz w:val="22"/>
                <w:szCs w:val="22"/>
              </w:rPr>
              <w:t xml:space="preserve">99.44% ±0.31%</w:t>
            </w:r>
          </w:p>
        </w:tc>
      </w:tr>
    </w:tbl>
    <w:p>
      <w:pPr>
        <w:spacing w:after="160"/>
      </w:pPr>
    </w:p>
    <w:p>
      <w:pPr>
        <w:pStyle w:val="Heading3"/>
        <w:spacing w:before="200" w:after="80"/>
      </w:pPr>
      <w:r>
        <w:rPr>
          <w:rFonts w:ascii="Calibri" w:cs="Calibri" w:eastAsia="Calibri" w:hAnsi="Calibri"/>
          <w:b/>
          <w:bCs/>
          <w:color w:val="2D3748"/>
          <w:sz w:val="24"/>
          <w:szCs w:val="24"/>
        </w:rPr>
        <w:t xml:space="preserve">9.2  Signal Direction Validation</w:t>
      </w:r>
    </w:p>
    <w:p>
      <w:pPr>
        <w:spacing w:after="120"/>
        <w:jc w:val="both"/>
      </w:pPr>
      <w:r>
        <w:rPr>
          <w:rFonts w:ascii="Calibri" w:cs="Calibri" w:eastAsia="Calibri" w:hAnsi="Calibri"/>
          <w:color w:val="2D3748"/>
          <w:sz w:val="22"/>
          <w:szCs w:val="22"/>
        </w:rPr>
        <w:t xml:space="preserve">A critical validation ensures the model learned the correct causal direction — higher income should mean higher approval probability, not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Income Band</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Approval Rate</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n</w:t>
            </w:r>
          </w:p>
        </w:tc>
        <w:tc>
          <w:tcPr>
            <w:tcW w:type="dxa" w:w="234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Direction</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Under $30K</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41.1%</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299</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Lowest — correct</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$30K – $60K</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59.8%</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647</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Increasing</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$60K – $100K</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72.3%</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559</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Increasing</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$100K – $150K</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78.4%</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236</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Increasing</w:t>
            </w:r>
          </w:p>
        </w:tc>
      </w:tr>
      <w:tr>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$150K – $300K</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87.8%</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230</w:t>
            </w:r>
          </w:p>
        </w:tc>
        <w:tc>
          <w:tcPr>
            <w:tcW w:type="dxa" w:w="234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Increasing</w:t>
            </w:r>
          </w:p>
        </w:tc>
      </w:tr>
      <w:tr>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Over $300K</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100.0%</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29</w:t>
            </w:r>
          </w:p>
        </w:tc>
        <w:tc>
          <w:tcPr>
            <w:tcW w:type="dxa" w:w="234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Highest — correct</w:t>
            </w:r>
          </w:p>
        </w:tc>
      </w:tr>
    </w:tbl>
    <w:p>
      <w:pPr>
        <w:spacing w:after="80"/>
      </w:pPr>
    </w:p>
    <w:p>
      <w:pPr>
        <w:spacing w:after="120"/>
        <w:jc w:val="both"/>
      </w:pPr>
      <w:r>
        <w:rPr>
          <w:rFonts w:ascii="Calibri" w:cs="Calibri" w:eastAsia="Calibri" w:hAnsi="Calibri"/>
          <w:color w:val="2D3748"/>
          <w:sz w:val="22"/>
          <w:szCs w:val="22"/>
        </w:rPr>
        <w:t xml:space="preserve">Similarly, monthly debt monotonically decreases approval probability: $0 debt → 77.6% approval; $3,000/mo debt → 45.4%; $5,000/mo debt → 13.9%. This confirms the model learned economically rational signals.</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10. Business Impact &amp; ROI</w:t>
      </w:r>
    </w:p>
    <w:p>
      <w:pPr>
        <w:pStyle w:val="Heading3"/>
        <w:spacing w:before="200" w:after="80"/>
      </w:pPr>
      <w:r>
        <w:rPr>
          <w:rFonts w:ascii="Calibri" w:cs="Calibri" w:eastAsia="Calibri" w:hAnsi="Calibri"/>
          <w:b/>
          <w:bCs/>
          <w:color w:val="2D3748"/>
          <w:sz w:val="24"/>
          <w:szCs w:val="24"/>
        </w:rPr>
        <w:t xml:space="preserve">10.1  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Dimension</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Manual Process</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NexaVault AI</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Decision Time</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3–5 business days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&lt; 200 milliseconds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Cost per Decision</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$45 – $80</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~$0.002</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Consistency</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Variable — officer-dependent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100% algorithm-consistent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Scalability</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Linear (hire more staff)</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Unlimited concurrent decisions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Explainability</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None — no audit trail</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Every factor logged + explained</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Accuracy (AUC)</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~75–80% (estimated)</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99.77%</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False Rejections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~10–15% of applications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&lt; 1.5%</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False Approvals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Unquantified</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&lt; 2.2%</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Interest Rate Output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Not provided</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Automatic per tier/product</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Bias Risk</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High — unaudited</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Quantified — ECOA monitoring</w:t>
            </w:r>
          </w:p>
        </w:tc>
      </w:tr>
    </w:tbl>
    <w:p>
      <w:pPr>
        <w:spacing w:after="160"/>
      </w:pPr>
    </w:p>
    <w:p>
      <w:pPr>
        <w:pStyle w:val="Heading3"/>
        <w:spacing w:before="200" w:after="80"/>
      </w:pPr>
      <w:r>
        <w:rPr>
          <w:rFonts w:ascii="Calibri" w:cs="Calibri" w:eastAsia="Calibri" w:hAnsi="Calibri"/>
          <w:b/>
          <w:bCs/>
          <w:color w:val="2D3748"/>
          <w:sz w:val="24"/>
          <w:szCs w:val="24"/>
        </w:rPr>
        <w:t xml:space="preserve">10.2  ROI Model</w:t>
      </w:r>
    </w:p>
    <w:p>
      <w:pPr>
        <w:spacing w:after="120"/>
        <w:jc w:val="both"/>
      </w:pPr>
      <w:r>
        <w:rPr>
          <w:rFonts w:ascii="Calibri" w:cs="Calibri" w:eastAsia="Calibri" w:hAnsi="Calibri"/>
          <w:color w:val="2D3748"/>
          <w:sz w:val="22"/>
          <w:szCs w:val="22"/>
        </w:rPr>
        <w:t xml:space="preserve">The following ROI estimates are modelled for a portfolio of 10,000 applications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Value Driver</w:t>
            </w:r>
          </w:p>
        </w:tc>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Annual Estimate</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Recovered revenue from false rejections (1,000–1,500 × $1,500 avg origination fee)</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$1.5M – $2.25M</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Saved defaults from false approvals (200 fewer × $15K avg loss)</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$3.0M</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Operational savings (officer time: 10,000 × $62.50 avg)</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$625K</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Faster decisions — reduced attrition to competitors (est. 5% retention gain)</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$500K</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Total Gross Annual Benefit</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$5.6M – $6.4M</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System Development &amp; Maintenance Cost</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E24B4A"/>
                <w:sz w:val="22"/>
                <w:szCs w:val="22"/>
              </w:rPr>
              <w:t xml:space="preserve">$200K – $400K</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Net Annual ROI</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$5.2M – $6.0M</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2"/>
                <w:szCs w:val="22"/>
              </w:rPr>
              <w:t xml:space="preserve">Payback Period</w:t>
            </w:r>
          </w:p>
        </w:tc>
        <w:tc>
          <w:tcPr>
            <w:tcW w:type="dxa" w:w="4680"/>
            <w:tcBorders>
              <w:top w:val="single" w:color="E0E6ED" w:sz="4"/>
              <w:left w:val="single" w:color="E0E6ED" w:sz="4"/>
              <w:bottom w:val="single" w:color="E0E6ED" w:sz="4"/>
              <w:right w:val="single" w:color="E0E6ED" w:sz="4"/>
            </w:tcBorders>
            <w:shd w:fill="E8F4F8" w:val="clear"/>
            <w:tcMar>
              <w:top w:type="dxa" w:w="80"/>
              <w:left w:type="dxa" w:w="160"/>
              <w:bottom w:type="dxa" w:w="80"/>
              <w:right w:type="dxa" w:w="160"/>
            </w:tcMar>
          </w:tcPr>
          <w:p>
            <w:r>
              <w:rPr>
                <w:rFonts w:ascii="Calibri" w:cs="Calibri" w:eastAsia="Calibri" w:hAnsi="Calibri"/>
                <w:b/>
                <w:bCs/>
                <w:color w:val="1D9E75"/>
                <w:sz w:val="22"/>
                <w:szCs w:val="22"/>
              </w:rPr>
              <w:t xml:space="preserve">&lt; 4 weeks</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11. Competitive Advantage</w:t>
      </w:r>
    </w:p>
    <w:p>
      <w:pPr>
        <w:spacing w:after="120"/>
        <w:jc w:val="both"/>
      </w:pPr>
      <w:r>
        <w:rPr>
          <w:rFonts w:ascii="Calibri" w:cs="Calibri" w:eastAsia="Calibri" w:hAnsi="Calibri"/>
          <w:color w:val="2D3748"/>
          <w:sz w:val="22"/>
          <w:szCs w:val="22"/>
        </w:rPr>
        <w:t xml:space="preserve">NexaVault's AI system compares favourably to the loan approval technology deployed by leading US financial institutions: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1872"/>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Capability</w:t>
            </w:r>
          </w:p>
        </w:tc>
        <w:tc>
          <w:tcPr>
            <w:tcW w:type="dxa" w:w="1872"/>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NexaVault AI</w:t>
            </w:r>
          </w:p>
        </w:tc>
        <w:tc>
          <w:tcPr>
            <w:tcW w:type="dxa" w:w="1872"/>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Wells Fargo</w:t>
            </w:r>
          </w:p>
        </w:tc>
        <w:tc>
          <w:tcPr>
            <w:tcW w:type="dxa" w:w="1872"/>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Rocket Mortgage</w:t>
            </w:r>
          </w:p>
        </w:tc>
        <w:tc>
          <w:tcPr>
            <w:tcW w:type="dxa" w:w="1872"/>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SoFi</w:t>
            </w:r>
          </w:p>
        </w:tc>
      </w:tr>
      <w:tr>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Decision Speed</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&lt; 200ms</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Minutes–days</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 minute</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Minutes</w:t>
            </w:r>
          </w:p>
        </w:tc>
      </w:tr>
      <w:tr>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Model AUC</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99.77%</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 disclosed</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 disclosed</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 disclosed</w:t>
            </w:r>
          </w:p>
        </w:tc>
      </w:tr>
      <w:tr>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Hard Rules Layer</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 gates (auditable)</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Proprietary</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Proprietary</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Limited</w:t>
            </w:r>
          </w:p>
        </w:tc>
      </w:tr>
      <w:tr>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Interest Rate in Response</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Per tier/product</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Manual quote</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Instant quote</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Rate check</w:t>
            </w:r>
          </w:p>
        </w:tc>
      </w:tr>
      <w:tr>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Rejection Explanation</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Plain English reasons</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Generic letter</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Generic letter</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Limited</w:t>
            </w:r>
          </w:p>
        </w:tc>
      </w:tr>
      <w:tr>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Experian 7-Tier Model</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Full integration</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3-bureau pull</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3-bureau pull</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Soft pull only</w:t>
            </w:r>
          </w:p>
        </w:tc>
      </w:tr>
      <w:tr>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What-If Advisor</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Built-in</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No</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Partial</w:t>
            </w:r>
          </w:p>
        </w:tc>
      </w:tr>
      <w:tr>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ECOA Fairness Audit</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 Built-in analysis</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Regulatory filing</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Regulatory filing</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Regulatory filing</w:t>
            </w:r>
          </w:p>
        </w:tc>
      </w:tr>
      <w:tr>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Open Source Stack</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 Python/sklearn</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Proprietary</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Proprietary</w:t>
            </w:r>
          </w:p>
        </w:tc>
        <w:tc>
          <w:tcPr>
            <w:tcW w:type="dxa" w:w="1872"/>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Proprietary</w:t>
            </w:r>
          </w:p>
        </w:tc>
      </w:tr>
      <w:tr>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Deployment Cost</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~$200K build</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 enterprise</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 enterprise</w:t>
            </w:r>
          </w:p>
        </w:tc>
        <w:tc>
          <w:tcPr>
            <w:tcW w:type="dxa" w:w="1872"/>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 enterprise</w:t>
            </w:r>
          </w:p>
        </w:tc>
      </w:tr>
    </w:tbl>
    <w:p>
      <w:pPr>
        <w:spacing w:after="160"/>
      </w:pPr>
    </w:p>
    <w:p>
      <w:pPr>
        <w:pStyle w:val="Heading3"/>
        <w:spacing w:before="200" w:after="80"/>
      </w:pPr>
      <w:r>
        <w:rPr>
          <w:rFonts w:ascii="Calibri" w:cs="Calibri" w:eastAsia="Calibri" w:hAnsi="Calibri"/>
          <w:b/>
          <w:bCs/>
          <w:color w:val="2D3748"/>
          <w:sz w:val="24"/>
          <w:szCs w:val="24"/>
        </w:rPr>
        <w:t xml:space="preserve">Key Differentiators</w:t>
      </w:r>
    </w:p>
    <w:p>
      <w:pPr>
        <w:pStyle w:val="ListParagraph"/>
        <w:numPr>
          <w:ilvl w:val="0"/>
          <w:numId w:val="2"/>
        </w:numPr>
        <w:spacing w:after="80"/>
      </w:pPr>
      <w:r>
        <w:rPr>
          <w:rFonts w:ascii="Calibri" w:cs="Calibri" w:eastAsia="Calibri" w:hAnsi="Calibri"/>
          <w:color w:val="2D3748"/>
          <w:sz w:val="22"/>
          <w:szCs w:val="22"/>
        </w:rPr>
        <w:t xml:space="preserve">Plain-English rejection explanations with specific improvement advice — no competitor provides this at the point of decision.</w:t>
      </w:r>
    </w:p>
    <w:p>
      <w:pPr>
        <w:pStyle w:val="ListParagraph"/>
        <w:numPr>
          <w:ilvl w:val="0"/>
          <w:numId w:val="2"/>
        </w:numPr>
        <w:spacing w:after="80"/>
      </w:pPr>
      <w:r>
        <w:rPr>
          <w:rFonts w:ascii="Calibri" w:cs="Calibri" w:eastAsia="Calibri" w:hAnsi="Calibri"/>
          <w:color w:val="2D3748"/>
          <w:sz w:val="22"/>
          <w:szCs w:val="22"/>
        </w:rPr>
        <w:t xml:space="preserve">Transparent 9-gate rule system with full audit trail — every decision is explainable to regulators and applicants.</w:t>
      </w:r>
    </w:p>
    <w:p>
      <w:pPr>
        <w:pStyle w:val="ListParagraph"/>
        <w:numPr>
          <w:ilvl w:val="0"/>
          <w:numId w:val="2"/>
        </w:numPr>
        <w:spacing w:after="80"/>
      </w:pPr>
      <w:r>
        <w:rPr>
          <w:rFonts w:ascii="Calibri" w:cs="Calibri" w:eastAsia="Calibri" w:hAnsi="Calibri"/>
          <w:color w:val="2D3748"/>
          <w:sz w:val="22"/>
          <w:szCs w:val="22"/>
        </w:rPr>
        <w:t xml:space="preserve">Sub-$0.01 marginal cost per decision vs. $45–$80 for manual processes.</w:t>
      </w:r>
    </w:p>
    <w:p>
      <w:pPr>
        <w:pStyle w:val="ListParagraph"/>
        <w:numPr>
          <w:ilvl w:val="0"/>
          <w:numId w:val="2"/>
        </w:numPr>
        <w:spacing w:after="80"/>
      </w:pPr>
      <w:r>
        <w:rPr>
          <w:rFonts w:ascii="Calibri" w:cs="Calibri" w:eastAsia="Calibri" w:hAnsi="Calibri"/>
          <w:color w:val="2D3748"/>
          <w:sz w:val="22"/>
          <w:szCs w:val="22"/>
        </w:rPr>
        <w:t xml:space="preserve">Built on open-source Python stack — no vendor lock-in, full customisability.</w:t>
      </w:r>
    </w:p>
    <w:p>
      <w:pPr>
        <w:pStyle w:val="ListParagraph"/>
        <w:numPr>
          <w:ilvl w:val="0"/>
          <w:numId w:val="2"/>
        </w:numPr>
        <w:spacing w:after="80"/>
      </w:pPr>
      <w:r>
        <w:rPr>
          <w:rFonts w:ascii="Calibri" w:cs="Calibri" w:eastAsia="Calibri" w:hAnsi="Calibri"/>
          <w:color w:val="2D3748"/>
          <w:sz w:val="22"/>
          <w:szCs w:val="22"/>
        </w:rPr>
        <w:t xml:space="preserve">Interest rate calculator integrated into the decision response — applicants see exactly what they would pay.</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12. Interest Rate Intelligence</w:t>
      </w:r>
    </w:p>
    <w:p>
      <w:pPr>
        <w:spacing w:after="120"/>
        <w:jc w:val="both"/>
      </w:pPr>
      <w:r>
        <w:rPr>
          <w:rFonts w:ascii="Calibri" w:cs="Calibri" w:eastAsia="Calibri" w:hAnsi="Calibri"/>
          <w:color w:val="2D3748"/>
          <w:sz w:val="22"/>
          <w:szCs w:val="22"/>
        </w:rPr>
        <w:t xml:space="preserve">Every approved decision includes an estimated Annual Percentage Rate (APR) based on the applicant's credit tier and loan type, using 2026 US market benchmark rates. The system calculates the true amortized EMI at that rate and the total interest paid over the full loan term.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44"/>
        <w:gridCol w:w="1344"/>
        <w:gridCol w:w="1344"/>
        <w:gridCol w:w="1344"/>
        <w:gridCol w:w="1344"/>
      </w:tblGrid>
      <w:tr>
        <w:trPr>
          <w:tblHeader/>
        </w:trPr>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Credit Tier</w:t>
            </w:r>
          </w:p>
        </w:tc>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Home Purchase</w:t>
            </w:r>
          </w:p>
        </w:tc>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Auto Loan</w:t>
            </w:r>
          </w:p>
        </w:tc>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Personal Loan</w:t>
            </w:r>
          </w:p>
        </w:tc>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Business Loan</w:t>
            </w:r>
          </w:p>
        </w:tc>
        <w:tc>
          <w:tcPr>
            <w:tcW w:type="dxa" w:w="156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Education</w:t>
            </w:r>
          </w:p>
        </w:tc>
      </w:tr>
      <w:tr>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Exceptional (800–850)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6.25%</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5.50%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9.50%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8.50%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5.50%</w:t>
            </w:r>
          </w:p>
        </w:tc>
      </w:tr>
      <w:tr>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Very Good (740–799)</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6.50%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11.00%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9.50%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6.00%</w:t>
            </w:r>
          </w:p>
        </w:tc>
      </w:tr>
      <w:tr>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Good (670–739)</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6.875%</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7.25%</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13.50%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11.00%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6.75%</w:t>
            </w:r>
          </w:p>
        </w:tc>
      </w:tr>
      <w:tr>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Fair (580–669)</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7.50%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10.50%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17.00%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14.00%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8.50%</w:t>
            </w:r>
          </w:p>
        </w:tc>
      </w:tr>
      <w:tr>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Poor (500–579)</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9.00%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14.00%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22.00%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18.00%</w:t>
            </w:r>
          </w:p>
        </w:tc>
        <w:tc>
          <w:tcPr>
            <w:tcW w:type="dxa" w:w="156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10.00%</w:t>
            </w:r>
          </w:p>
        </w:tc>
      </w:tr>
      <w:tr>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Very Poor (300–499)</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 Offered</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18.00%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28.00%</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Not Offered</w:t>
            </w:r>
          </w:p>
        </w:tc>
        <w:tc>
          <w:tcPr>
            <w:tcW w:type="dxa" w:w="156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13.00%</w:t>
            </w:r>
          </w:p>
        </w:tc>
      </w:tr>
    </w:tbl>
    <w:p>
      <w:pPr>
        <w:spacing w:after="80"/>
      </w:pPr>
    </w:p>
    <w:p>
      <w:pPr>
        <w:spacing w:after="120"/>
        <w:jc w:val="both"/>
      </w:pPr>
      <w:r>
        <w:rPr>
          <w:rFonts w:ascii="Calibri" w:cs="Calibri" w:eastAsia="Calibri" w:hAnsi="Calibri"/>
          <w:color w:val="2D3748"/>
          <w:sz w:val="22"/>
          <w:szCs w:val="22"/>
        </w:rPr>
        <w:t xml:space="preserve">Example: A $300K home loan over 30 years for an Exceptional credit borrower (6.25%) costs $677K total ($377K interest). The same loan for a Poor credit borrower (9.00%) costs $869K total ($569K interest) — a $192K difference that underscores the importance of credit improvement.</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13. Deployment Strategy</w:t>
      </w:r>
    </w:p>
    <w:p>
      <w:pPr>
        <w:pStyle w:val="Heading3"/>
        <w:spacing w:before="200" w:after="80"/>
      </w:pPr>
      <w:r>
        <w:rPr>
          <w:rFonts w:ascii="Calibri" w:cs="Calibri" w:eastAsia="Calibri" w:hAnsi="Calibri"/>
          <w:b/>
          <w:bCs/>
          <w:color w:val="2D3748"/>
          <w:sz w:val="24"/>
          <w:szCs w:val="24"/>
        </w:rPr>
        <w:t xml:space="preserve">Phase 1 — Demo &amp; Validation (Weeks 1–2)</w:t>
      </w:r>
    </w:p>
    <w:p>
      <w:pPr>
        <w:pStyle w:val="ListParagraph"/>
        <w:numPr>
          <w:ilvl w:val="0"/>
          <w:numId w:val="2"/>
        </w:numPr>
        <w:spacing w:after="80"/>
      </w:pPr>
      <w:r>
        <w:rPr>
          <w:rFonts w:ascii="Calibri" w:cs="Calibri" w:eastAsia="Calibri" w:hAnsi="Calibri"/>
          <w:color w:val="2D3748"/>
          <w:sz w:val="22"/>
          <w:szCs w:val="22"/>
        </w:rPr>
        <w:t xml:space="preserve">Local Flask development server with Docker Compose</w:t>
      </w:r>
    </w:p>
    <w:p>
      <w:pPr>
        <w:pStyle w:val="ListParagraph"/>
        <w:numPr>
          <w:ilvl w:val="0"/>
          <w:numId w:val="2"/>
        </w:numPr>
        <w:spacing w:after="80"/>
      </w:pPr>
      <w:r>
        <w:rPr>
          <w:rFonts w:ascii="Calibri" w:cs="Calibri" w:eastAsia="Calibri" w:hAnsi="Calibri"/>
          <w:color w:val="2D3748"/>
          <w:sz w:val="22"/>
          <w:szCs w:val="22"/>
        </w:rPr>
        <w:t xml:space="preserve">Standalone HTML dashboard — no additional server required</w:t>
      </w:r>
    </w:p>
    <w:p>
      <w:pPr>
        <w:pStyle w:val="ListParagraph"/>
        <w:numPr>
          <w:ilvl w:val="0"/>
          <w:numId w:val="2"/>
        </w:numPr>
        <w:spacing w:after="80"/>
      </w:pPr>
      <w:r>
        <w:rPr>
          <w:rFonts w:ascii="Calibri" w:cs="Calibri" w:eastAsia="Calibri" w:hAnsi="Calibri"/>
          <w:color w:val="2D3748"/>
          <w:sz w:val="22"/>
          <w:szCs w:val="22"/>
        </w:rPr>
        <w:t xml:space="preserve">Full Jupyter notebook for model auditing and stakeholder demos</w:t>
      </w:r>
    </w:p>
    <w:p>
      <w:pPr>
        <w:pStyle w:val="ListParagraph"/>
        <w:numPr>
          <w:ilvl w:val="0"/>
          <w:numId w:val="2"/>
        </w:numPr>
        <w:spacing w:after="80"/>
      </w:pPr>
      <w:r>
        <w:rPr>
          <w:rFonts w:ascii="Calibri" w:cs="Calibri" w:eastAsia="Calibri" w:hAnsi="Calibri"/>
          <w:color w:val="2D3748"/>
          <w:sz w:val="22"/>
          <w:szCs w:val="22"/>
        </w:rPr>
        <w:t xml:space="preserve">Smoke testing with 200-record holdout test set</w:t>
      </w:r>
    </w:p>
    <w:p>
      <w:pPr>
        <w:pStyle w:val="Heading3"/>
        <w:spacing w:before="200" w:after="80"/>
      </w:pPr>
      <w:r>
        <w:rPr>
          <w:rFonts w:ascii="Calibri" w:cs="Calibri" w:eastAsia="Calibri" w:hAnsi="Calibri"/>
          <w:b/>
          <w:bCs/>
          <w:color w:val="2D3748"/>
          <w:sz w:val="24"/>
          <w:szCs w:val="24"/>
        </w:rPr>
        <w:t xml:space="preserve">Phase 2 — Cloud Production (Weeks 3–4)</w:t>
      </w:r>
    </w:p>
    <w:p>
      <w:pPr>
        <w:pStyle w:val="ListParagraph"/>
        <w:numPr>
          <w:ilvl w:val="0"/>
          <w:numId w:val="2"/>
        </w:numPr>
        <w:spacing w:after="80"/>
      </w:pPr>
      <w:r>
        <w:rPr>
          <w:rFonts w:ascii="Calibri" w:cs="Calibri" w:eastAsia="Calibri" w:hAnsi="Calibri"/>
          <w:color w:val="2D3748"/>
          <w:sz w:val="22"/>
          <w:szCs w:val="22"/>
        </w:rPr>
        <w:t xml:space="preserve">AWS EC2 (t3.medium) or Render.com deployment</w:t>
      </w:r>
    </w:p>
    <w:p>
      <w:pPr>
        <w:pStyle w:val="ListParagraph"/>
        <w:numPr>
          <w:ilvl w:val="0"/>
          <w:numId w:val="2"/>
        </w:numPr>
        <w:spacing w:after="80"/>
      </w:pPr>
      <w:r>
        <w:rPr>
          <w:rFonts w:ascii="Calibri" w:cs="Calibri" w:eastAsia="Calibri" w:hAnsi="Calibri"/>
          <w:color w:val="2D3748"/>
          <w:sz w:val="22"/>
          <w:szCs w:val="22"/>
        </w:rPr>
        <w:t xml:space="preserve">Nginx reverse proxy with HTTPS/SSL via Let's Encrypt</w:t>
      </w:r>
    </w:p>
    <w:p>
      <w:pPr>
        <w:pStyle w:val="ListParagraph"/>
        <w:numPr>
          <w:ilvl w:val="0"/>
          <w:numId w:val="2"/>
        </w:numPr>
        <w:spacing w:after="80"/>
      </w:pPr>
      <w:r>
        <w:rPr>
          <w:rFonts w:ascii="Calibri" w:cs="Calibri" w:eastAsia="Calibri" w:hAnsi="Calibri"/>
          <w:color w:val="2D3748"/>
          <w:sz w:val="22"/>
          <w:szCs w:val="22"/>
        </w:rPr>
        <w:t xml:space="preserve">GitHub Actions CI/CD pipeline: commit → test → deploy</w:t>
      </w:r>
    </w:p>
    <w:p>
      <w:pPr>
        <w:pStyle w:val="ListParagraph"/>
        <w:numPr>
          <w:ilvl w:val="0"/>
          <w:numId w:val="2"/>
        </w:numPr>
        <w:spacing w:after="80"/>
      </w:pPr>
      <w:r>
        <w:rPr>
          <w:rFonts w:ascii="Calibri" w:cs="Calibri" w:eastAsia="Calibri" w:hAnsi="Calibri"/>
          <w:color w:val="2D3748"/>
          <w:sz w:val="22"/>
          <w:szCs w:val="22"/>
        </w:rPr>
        <w:t xml:space="preserve">Structured JSON logging to CloudWatch</w:t>
      </w:r>
    </w:p>
    <w:p>
      <w:pPr>
        <w:pStyle w:val="Heading3"/>
        <w:spacing w:before="200" w:after="80"/>
      </w:pPr>
      <w:r>
        <w:rPr>
          <w:rFonts w:ascii="Calibri" w:cs="Calibri" w:eastAsia="Calibri" w:hAnsi="Calibri"/>
          <w:b/>
          <w:bCs/>
          <w:color w:val="2D3748"/>
          <w:sz w:val="24"/>
          <w:szCs w:val="24"/>
        </w:rPr>
        <w:t xml:space="preserve">Phase 3 — Enterprise Scale (Month 2+)</w:t>
      </w:r>
    </w:p>
    <w:p>
      <w:pPr>
        <w:pStyle w:val="ListParagraph"/>
        <w:numPr>
          <w:ilvl w:val="0"/>
          <w:numId w:val="2"/>
        </w:numPr>
        <w:spacing w:after="80"/>
      </w:pPr>
      <w:r>
        <w:rPr>
          <w:rFonts w:ascii="Calibri" w:cs="Calibri" w:eastAsia="Calibri" w:hAnsi="Calibri"/>
          <w:color w:val="2D3748"/>
          <w:sz w:val="22"/>
          <w:szCs w:val="22"/>
        </w:rPr>
        <w:t xml:space="preserve">AWS ECS Fargate with Application Load Balancer (auto-scaling)</w:t>
      </w:r>
    </w:p>
    <w:p>
      <w:pPr>
        <w:pStyle w:val="ListParagraph"/>
        <w:numPr>
          <w:ilvl w:val="0"/>
          <w:numId w:val="2"/>
        </w:numPr>
        <w:spacing w:after="80"/>
      </w:pPr>
      <w:r>
        <w:rPr>
          <w:rFonts w:ascii="Calibri" w:cs="Calibri" w:eastAsia="Calibri" w:hAnsi="Calibri"/>
          <w:color w:val="2D3748"/>
          <w:sz w:val="22"/>
          <w:szCs w:val="22"/>
        </w:rPr>
        <w:t xml:space="preserve">Redis caching layer for repeated applicant lookups</w:t>
      </w:r>
    </w:p>
    <w:p>
      <w:pPr>
        <w:pStyle w:val="ListParagraph"/>
        <w:numPr>
          <w:ilvl w:val="0"/>
          <w:numId w:val="2"/>
        </w:numPr>
        <w:spacing w:after="80"/>
      </w:pPr>
      <w:r>
        <w:rPr>
          <w:rFonts w:ascii="Calibri" w:cs="Calibri" w:eastAsia="Calibri" w:hAnsi="Calibri"/>
          <w:color w:val="2D3748"/>
          <w:sz w:val="22"/>
          <w:szCs w:val="22"/>
        </w:rPr>
        <w:t xml:space="preserve">Model drift monitoring (Evidently AI)</w:t>
      </w:r>
    </w:p>
    <w:p>
      <w:pPr>
        <w:pStyle w:val="ListParagraph"/>
        <w:numPr>
          <w:ilvl w:val="0"/>
          <w:numId w:val="2"/>
        </w:numPr>
        <w:spacing w:after="80"/>
      </w:pPr>
      <w:r>
        <w:rPr>
          <w:rFonts w:ascii="Calibri" w:cs="Calibri" w:eastAsia="Calibri" w:hAnsi="Calibri"/>
          <w:color w:val="2D3748"/>
          <w:sz w:val="22"/>
          <w:szCs w:val="22"/>
        </w:rPr>
        <w:t xml:space="preserve">Automated weekly retraining pipeline (Apache Airflow)</w:t>
      </w:r>
    </w:p>
    <w:p>
      <w:pPr>
        <w:pStyle w:val="ListParagraph"/>
        <w:numPr>
          <w:ilvl w:val="0"/>
          <w:numId w:val="2"/>
        </w:numPr>
        <w:spacing w:after="80"/>
      </w:pPr>
      <w:r>
        <w:rPr>
          <w:rFonts w:ascii="Calibri" w:cs="Calibri" w:eastAsia="Calibri" w:hAnsi="Calibri"/>
          <w:color w:val="2D3748"/>
          <w:sz w:val="22"/>
          <w:szCs w:val="22"/>
        </w:rPr>
        <w:t xml:space="preserve">MLflow experiment tracking for model lineage</w:t>
      </w:r>
    </w:p>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Timeline</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Enhancement</w:t>
            </w:r>
          </w:p>
        </w:tc>
        <w:tc>
          <w:tcPr>
            <w:tcW w:type="dxa" w:w="312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Business Value</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1–4 weeks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SHAP per-applicant explanations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Regulatory (ECOA) compliance, applicant transparency</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1–4 weeks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Live market rate API integration</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Always-current interest rate quotes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1–3 months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Real historical loan data (PII-masked)</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Higher accuracy on real applicant patterns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1–3 months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XGBoost + LightGBM + Neural Network</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Potentially higher accuracy, ensemble stacking</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1–3 months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Model drift detection (Evidently AI)</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Early warning when data distribution shifts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1–3 months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A/B testing framework</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Compare model versions in production safely</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3–12 months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Document OCR (AWS Textract)</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Auto-extract income from pay stubs, tax returns</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3–12 months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Real-time credit bureau API pull</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Live Experian/Equifax/TransUnion scores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3–12 months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Alternative data signals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Bank transactions, rent payment history</w:t>
            </w:r>
          </w:p>
        </w:tc>
      </w:tr>
      <w:tr>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3–12 months</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HMDA regulatory reporting</w:t>
            </w:r>
          </w:p>
        </w:tc>
        <w:tc>
          <w:tcPr>
            <w:tcW w:type="dxa" w:w="312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Automated filing, adverse action notices</w:t>
            </w:r>
          </w:p>
        </w:tc>
      </w:tr>
      <w:tr>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3–12 months</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Federated learning</w:t>
            </w:r>
          </w:p>
        </w:tc>
        <w:tc>
          <w:tcPr>
            <w:tcW w:type="dxa" w:w="312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Train across branches without centralising PII</w:t>
            </w:r>
          </w:p>
        </w:tc>
      </w:tr>
    </w:tbl>
    <w:p>
      <w:pPr>
        <w:spacing w:after="200"/>
      </w:pPr>
    </w:p>
    <w:p>
      <w:r>
        <w:br w:type="page"/>
      </w:r>
    </w:p>
    <w:p>
      <w:pPr>
        <w:pStyle w:val="Heading1"/>
        <w:pBdr>
          <w:bottom w:val="single" w:color="028090" w:sz="8"/>
        </w:pBdr>
        <w:spacing w:before="480" w:after="160"/>
      </w:pPr>
      <w:r>
        <w:rPr>
          <w:rFonts w:ascii="Calibri" w:cs="Calibri" w:eastAsia="Calibri" w:hAnsi="Calibri"/>
          <w:b/>
          <w:bCs/>
          <w:color w:val="0A1628"/>
          <w:sz w:val="36"/>
          <w:szCs w:val="36"/>
        </w:rPr>
        <w:t xml:space="preserve">15. Abbreviations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Abbreviation</w:t>
            </w:r>
          </w:p>
        </w:tc>
        <w:tc>
          <w:tcPr>
            <w:tcW w:type="dxa" w:w="4680"/>
            <w:tcBorders>
              <w:top w:val="single" w:color="028090" w:sz="4"/>
              <w:left w:val="single" w:color="028090" w:sz="4"/>
              <w:bottom w:val="single" w:color="028090" w:sz="4"/>
              <w:right w:val="single" w:color="028090" w:sz="4"/>
            </w:tcBorders>
            <w:shd w:fill="0A1628" w:val="clear"/>
            <w:tcMar>
              <w:top w:type="dxa" w:w="100"/>
              <w:left w:type="dxa" w:w="160"/>
              <w:bottom w:type="dxa" w:w="100"/>
              <w:right w:type="dxa" w:w="160"/>
            </w:tcMar>
          </w:tcPr>
          <w:p>
            <w:r>
              <w:rPr>
                <w:rFonts w:ascii="Calibri" w:cs="Calibri" w:eastAsia="Calibri" w:hAnsi="Calibri"/>
                <w:b/>
                <w:bCs/>
                <w:color w:val="FFFFFF"/>
                <w:sz w:val="20"/>
                <w:szCs w:val="20"/>
              </w:rPr>
              <w:t xml:space="preserve">Full Form &amp; Definition</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AI</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Artificial Intelligence — machine-based simulation of human intelligence</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API</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Application Programming Interface — a defined interface for software communication</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APR</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Annual Percentage Rate — total yearly cost of borrowing including interest and fees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ATR</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Ability to Repay — CFPB rule requiring lenders verify borrower repayment ability</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AUC</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Area Under the Curve — area under the ROC curve; 1.0 = perfect, 0.5 = random</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CFPB</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Consumer Financial Protection Bureau — US financial consumer protection regulator</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CV</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Cross-Validation — technique to estimate model performance on unseen data</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DTI</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Debt-to-Income Ratio — monthly debt obligations as % of gross monthly income</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ECOA</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Equal Credit Opportunity Act — prohibits discriminatory lending in the US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EMI</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Equated Monthly Instalment — fixed monthly loan repayment amount</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ECS</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Elastic Container Service — AWS managed container orchestration service</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F1</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F1 Score — harmonic mean of precision and recall</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FCRA</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Fair Credit Reporting Act — governs use of consumer credit information</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FHA</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Federal Housing Administration — US agency insuring mortgage loans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GBM</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Gradient Boosting Machine — ensemble ML method that sequentially corrects errors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HELOC</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Home Equity Line of Credit — revolving credit secured by home equity</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HMDA</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Home Mortgage Disclosure Act — requires lenders report mortgage data</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LR</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Logistic Regression — linear model for binary classification</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LTI</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Loan-to-Income Ratio — loan amount divided by annual income</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ML</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Machine Learning — algorithms that learn patterns from data without explicit programming</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MLflow</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Open-source platform for ML experiment tracking and model registry</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OHE</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One-Hot Encoding — converting categories into binary indicator columns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PII</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Personally Identifiable Information — data that can identify a specific individual</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QM</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Qualified Mortgage — CFPB-defined safe harbour for compliant mortgage loans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RF</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Random Forest — ensemble of decision trees with randomised feature selection</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REST</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Representational State Transfer — standard architectural style for web APIs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ROC</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Receiver Operating Characteristic — curve plotting TPR vs FPR at all thresholds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ROI</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Return on Investment — net benefit of an investment relative to its cost</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SHAP</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SHapley Additive exPlanations — method for per-prediction feature attribution</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sklearn</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scikit-learn — Python ML library used for all model training and pipelines</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SSL</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Secure Sockets Layer — cryptographic protocol for secure internet connections</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SVM</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Support Vector Machine — classifier finding maximum-margin decision boundary</w:t>
            </w:r>
          </w:p>
        </w:tc>
      </w:tr>
      <w:tr>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TPR</w:t>
            </w:r>
          </w:p>
        </w:tc>
        <w:tc>
          <w:tcPr>
            <w:tcW w:type="dxa" w:w="4680"/>
            <w:tcBorders>
              <w:top w:val="single" w:color="E0E6ED" w:sz="4"/>
              <w:left w:val="single" w:color="E0E6ED" w:sz="4"/>
              <w:bottom w:val="single" w:color="E0E6ED" w:sz="4"/>
              <w:right w:val="single" w:color="E0E6ED" w:sz="4"/>
            </w:tcBorders>
            <w:tcMar>
              <w:top w:type="dxa" w:w="80"/>
              <w:left w:type="dxa" w:w="160"/>
              <w:bottom w:type="dxa" w:w="80"/>
              <w:right w:type="dxa" w:w="160"/>
            </w:tcMar>
          </w:tcPr>
          <w:p>
            <w:r>
              <w:rPr>
                <w:rFonts w:ascii="Calibri" w:cs="Calibri" w:eastAsia="Calibri" w:hAnsi="Calibri"/>
                <w:color w:val="2D3748"/>
                <w:sz w:val="20"/>
                <w:szCs w:val="20"/>
              </w:rPr>
              <w:t xml:space="preserve">True Positive Rate (Recall/Sensitivity) — % of positives correctly identified</w:t>
            </w:r>
          </w:p>
        </w:tc>
      </w:tr>
      <w:tr>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VA</w:t>
            </w:r>
          </w:p>
        </w:tc>
        <w:tc>
          <w:tcPr>
            <w:tcW w:type="dxa" w:w="4680"/>
            <w:tcBorders>
              <w:top w:val="single" w:color="E0E6ED" w:sz="4"/>
              <w:left w:val="single" w:color="E0E6ED" w:sz="4"/>
              <w:bottom w:val="single" w:color="E0E6ED" w:sz="4"/>
              <w:right w:val="single" w:color="E0E6ED" w:sz="4"/>
            </w:tcBorders>
            <w:shd w:fill="F7FAFC" w:val="clear"/>
            <w:tcMar>
              <w:top w:type="dxa" w:w="80"/>
              <w:left w:type="dxa" w:w="160"/>
              <w:bottom w:type="dxa" w:w="80"/>
              <w:right w:type="dxa" w:w="160"/>
            </w:tcMar>
          </w:tcPr>
          <w:p>
            <w:r>
              <w:rPr>
                <w:rFonts w:ascii="Calibri" w:cs="Calibri" w:eastAsia="Calibri" w:hAnsi="Calibri"/>
                <w:color w:val="2D3748"/>
                <w:sz w:val="20"/>
                <w:szCs w:val="20"/>
              </w:rPr>
              <w:t xml:space="preserve">Veterans Affairs — US Department of Veterans Affairs, also issues home loan guarantees</w:t>
            </w:r>
          </w:p>
        </w:tc>
      </w:tr>
    </w:tbl>
    <w:p>
      <w:pPr>
        <w:spacing w:after="320"/>
      </w:pPr>
    </w:p>
    <w:p>
      <w:pPr>
        <w:pBdr>
          <w:bottom w:val="single" w:color="028090" w:sz="6"/>
        </w:pBdr>
        <w:spacing w:after="120"/>
      </w:pPr>
    </w:p>
    <w:p>
      <w:pPr>
        <w:spacing w:before="160" w:after="80"/>
        <w:jc w:val="center"/>
      </w:pPr>
      <w:r>
        <w:rPr>
          <w:rFonts w:ascii="Calibri" w:cs="Calibri" w:eastAsia="Calibri" w:hAnsi="Calibri"/>
          <w:b/>
          <w:bCs/>
          <w:color w:val="0A1628"/>
          <w:sz w:val="20"/>
          <w:szCs w:val="20"/>
        </w:rPr>
        <w:t xml:space="preserve">Copyright © 2026 Mandeep Sharma. All rights reserved.</w:t>
      </w:r>
    </w:p>
    <w:p>
      <w:pPr>
        <w:spacing w:after="80"/>
        <w:jc w:val="center"/>
      </w:pPr>
      <w:r>
        <w:rPr>
          <w:rFonts w:ascii="Calibri" w:cs="Calibri" w:eastAsia="Calibri" w:hAnsi="Calibri"/>
          <w:i/>
          <w:iCs/>
          <w:color w:val="8A9BB0"/>
          <w:sz w:val="18"/>
          <w:szCs w:val="18"/>
        </w:rPr>
        <w:t xml:space="preserve">NexaVault Financial Corp  |  Intelligent Loan Approval System v5.0  |  CONFIDENTIAL</w:t>
      </w:r>
    </w:p>
    <w:p>
      <w:pPr>
        <w:jc w:val="center"/>
      </w:pPr>
      <w:r>
        <w:rPr>
          <w:rFonts w:ascii="Calibri" w:cs="Calibri" w:eastAsia="Calibri" w:hAnsi="Calibri"/>
          <w:i/>
          <w:iCs/>
          <w:color w:val="8A9BB0"/>
          <w:sz w:val="16"/>
          <w:szCs w:val="16"/>
        </w:rPr>
        <w:t xml:space="preserve">This document contains proprietary and confidential information. Unauthorised reproduction, distribution, or disclosure is strictly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pBdr>
      <w:spacing w:before="8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spacing w:after="80"/>
    </w:pPr>
    <w:r>
      <w:rPr>
        <w:rFonts w:ascii="Calibri" w:cs="Calibri" w:eastAsia="Calibri" w:hAnsi="Calibri"/>
        <w:color w:val="8A9BB0"/>
        <w:sz w:val="16"/>
        <w:szCs w:val="16"/>
      </w:rPr>
      <w:t xml:space="preserve">NexaVault Financial Corp  |  Intelligent Loan Approval System — Executive Summary</w:t>
    </w:r>
    <w:r>
      <w:rPr>
        <w:rFonts w:ascii="Calibri" w:cs="Calibri" w:eastAsia="Calibri" w:hAnsi="Calibri"/>
        <w:b/>
        <w:bCs/>
        <w:color w:val="E24B4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0A1628"/>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02809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NexaVault Financial Corp — Intelligent Loan Approval System — Executive Summary</dc:title>
  <dc:creator>Mandeep Sharma</dc:creator>
  <dc:description>Executive Summary for NexaVault Intelligent Loan Approval System v5.0</dc:description>
  <cp:lastModifiedBy>Un-named</cp:lastModifiedBy>
  <cp:revision>1</cp:revision>
  <dcterms:created xsi:type="dcterms:W3CDTF">2026-03-25T21:02:41.317Z</dcterms:created>
  <dcterms:modified xsi:type="dcterms:W3CDTF">2026-03-25T21:02:41.317Z</dcterms:modified>
</cp:coreProperties>
</file>

<file path=docProps/custom.xml><?xml version="1.0" encoding="utf-8"?>
<Properties xmlns="http://schemas.openxmlformats.org/officeDocument/2006/custom-properties" xmlns:vt="http://schemas.openxmlformats.org/officeDocument/2006/docPropsVTypes"/>
</file>