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w:t>
      </w:r>
      <w:r>
        <w:t xml:space="preserve"> </w:t>
      </w:r>
      <w:r>
        <w:t xml:space="preserve">and</w:t>
      </w:r>
      <w:r>
        <w:t xml:space="preserve"> </w:t>
      </w:r>
      <w:r>
        <w:t xml:space="preserve">Revision</w:t>
      </w:r>
      <w:r>
        <w:t xml:space="preserve"> </w:t>
      </w:r>
      <w:r>
        <w:t xml:space="preserve">Audit</w:t>
      </w:r>
      <w:r>
        <w:t xml:space="preserve"> </w:t>
      </w:r>
      <w:r>
        <w:t xml:space="preserve">Supplement</w:t>
      </w:r>
    </w:p>
    <w:p>
      <w:pPr>
        <w:pStyle w:val="Subtitle"/>
      </w:pPr>
      <w:r>
        <w:t xml:space="preserve">Companion</w:t>
      </w:r>
      <w:r>
        <w:t xml:space="preserve"> </w:t>
      </w:r>
      <w:r>
        <w:t xml:space="preserve">to</w:t>
      </w:r>
      <w:r>
        <w:t xml:space="preserve"> </w:t>
      </w:r>
      <w:r>
        <w:t xml:space="preserve">Stated,</w:t>
      </w:r>
      <w:r>
        <w:t xml:space="preserve"> </w:t>
      </w:r>
      <w:r>
        <w:t xml:space="preserve">Shipped,</w:t>
      </w:r>
      <w:r>
        <w:t xml:space="preserve"> </w:t>
      </w:r>
      <w:r>
        <w:t xml:space="preserve">Violated,</w:t>
      </w:r>
      <w:r>
        <w:t xml:space="preserve"> </w:t>
      </w:r>
      <w:r>
        <w:t xml:space="preserve">Repaired</w:t>
      </w:r>
    </w:p>
    <w:p>
      <w:pPr>
        <w:pStyle w:val="Author"/>
      </w:pPr>
      <w:r>
        <w:t xml:space="preserve">Mike</w:t>
      </w:r>
      <w:r>
        <w:t xml:space="preserve"> </w:t>
      </w:r>
      <w:r>
        <w:t xml:space="preserve">Andersen</w:t>
      </w:r>
    </w:p>
    <w:p>
      <w:pPr>
        <w:pStyle w:val="Date"/>
      </w:pPr>
      <w:r>
        <w:t xml:space="preserve">August</w:t>
      </w:r>
      <w:r>
        <w:t xml:space="preserve"> </w:t>
      </w:r>
      <w:r>
        <w:t xml:space="preserve">2026</w:t>
      </w:r>
    </w:p>
    <w:bookmarkStart w:id="20" w:name="purpose"/>
    <w:p>
      <w:pPr>
        <w:pStyle w:val="Heading1"/>
      </w:pPr>
      <w:r>
        <w:t xml:space="preserve">Purpose</w:t>
      </w:r>
    </w:p>
    <w:p>
      <w:pPr>
        <w:pStyle w:val="FirstParagraph"/>
      </w:pPr>
      <w:r>
        <w:t xml:space="preserve">This supplement preserves the traceability material removed from the reader-facing manuscript. It is not a second argument and should not be read as additional empirical evaluation. Its purpose is to make the source basis, evidence limitations, literature-search boundaries, and revision provenance inspectable without forcing those records into the main narrative.</w:t>
      </w:r>
    </w:p>
    <w:p>
      <w:pPr>
        <w:pStyle w:val="BodyText"/>
      </w:pPr>
      <w:r>
        <w:t xml:space="preserve">The rewritten manuscript was derived only from</w:t>
      </w:r>
      <w:r>
        <w:t xml:space="preserve"> </w:t>
      </w:r>
      <w:r>
        <w:rPr>
          <w:rStyle w:val="VerbatimChar"/>
        </w:rPr>
        <w:t xml:space="preserve">paper-v4.txt</w:t>
      </w:r>
      <w:r>
        <w:t xml:space="preserve">. No new technical measurement, repository read, literature search, or external verification was added during the rewrite.</w:t>
      </w:r>
    </w:p>
    <w:bookmarkEnd w:id="20"/>
    <w:bookmarkStart w:id="23" w:name="evidence-conventions"/>
    <w:p>
      <w:pPr>
        <w:pStyle w:val="Heading1"/>
      </w:pPr>
      <w:r>
        <w:t>Artifact Identity and Availability</w:t>
      </w:r>
    </w:p>
    <w:p>
      <w:pPr>
        <w:pStyle w:val="FirstParagraph"/>
      </w:pPr>
      <w:r>
        <w:t xml:space="preserve">The case-study artifact is the public </w:t>
      </w:r>
      <w:hyperlink r:id="rId11">
        <w:r>
          <w:rPr>
            <w:color w:val="0563C1"/>
            <w:u w:val="single"/>
          </w:rPr>
          <w:t>Claude PowerShell LSP repository</w:t>
        </w:r>
      </w:hyperlink>
      <w:r>
        <w:t xml:space="preserve">. The implementation examined in the manuscript is version 1.29.0. The provenance repair was merged in </w:t>
      </w:r>
      <w:hyperlink r:id="rId12">
        <w:r>
          <w:rPr>
            <w:color w:val="0563C1"/>
            <w:u w:val="single"/>
          </w:rPr>
          <w:t>commit 7c2f1faca9705001966d55eb7b95cc609283fb86</w:t>
        </w:r>
      </w:hyperlink>
      <w:r>
        <w:t>. Source paths and line anchors below refer to that case-study record unless a row explicitly says that its evidence was carried from an earlier build.</w:t>
      </w:r>
    </w:p>
    <w:p>
      <w:pPr>
        <w:pStyle w:val="Heading1"/>
      </w:pPr>
      <w:r>
        <w:t xml:space="preserve">1. Evidence Conventions</w:t>
      </w:r>
    </w:p>
    <w:p>
      <w:pPr>
        <w:pStyle w:val="FirstParagraph"/>
      </w:pPr>
      <w:r>
        <w:t xml:space="preserve">The source document used two dimensions for central claims.</w:t>
      </w:r>
    </w:p>
    <w:bookmarkStart w:id="21" w:name="evidence-class"/>
    <w:p>
      <w:pPr>
        <w:pStyle w:val="Heading2"/>
      </w:pPr>
      <w:r>
        <w:t xml:space="preserve">1.1 Evidence class</w:t>
      </w:r>
    </w:p>
    <w:p>
      <w:pPr>
        <w:pStyle w:val="Compact"/>
        <w:numPr>
          <w:ilvl w:val="0"/>
          <w:numId w:val="1001"/>
        </w:numPr>
      </w:pPr>
      <w:r>
        <w:rPr>
          <w:b/>
          <w:bCs/>
        </w:rPr>
        <w:t xml:space="preserve">Verified:</w:t>
      </w:r>
      <w:r>
        <w:t xml:space="preserve"> </w:t>
      </w:r>
      <w:r>
        <w:t xml:space="preserve">directly supported by source code, tests, recorded results, or authoritative documentation.</w:t>
      </w:r>
    </w:p>
    <w:p>
      <w:pPr>
        <w:pStyle w:val="Compact"/>
        <w:numPr>
          <w:ilvl w:val="0"/>
          <w:numId w:val="1001"/>
        </w:numPr>
      </w:pPr>
      <w:r>
        <w:rPr>
          <w:b/>
          <w:bCs/>
        </w:rPr>
        <w:t xml:space="preserve">Measured:</w:t>
      </w:r>
      <w:r>
        <w:t xml:space="preserve"> </w:t>
      </w:r>
      <w:r>
        <w:t xml:space="preserve">supported by a reproducible benchmark or dataset.</w:t>
      </w:r>
    </w:p>
    <w:p>
      <w:pPr>
        <w:pStyle w:val="Compact"/>
        <w:numPr>
          <w:ilvl w:val="0"/>
          <w:numId w:val="1001"/>
        </w:numPr>
      </w:pPr>
      <w:r>
        <w:rPr>
          <w:b/>
          <w:bCs/>
        </w:rPr>
        <w:t xml:space="preserve">Inferred:</w:t>
      </w:r>
      <w:r>
        <w:t xml:space="preserve"> </w:t>
      </w:r>
      <w:r>
        <w:t xml:space="preserve">an interpretation of evidence, stated as inference.</w:t>
      </w:r>
    </w:p>
    <w:p>
      <w:pPr>
        <w:pStyle w:val="Compact"/>
        <w:numPr>
          <w:ilvl w:val="0"/>
          <w:numId w:val="1001"/>
        </w:numPr>
      </w:pPr>
      <w:r>
        <w:rPr>
          <w:b/>
          <w:bCs/>
        </w:rPr>
        <w:t xml:space="preserve">Proposed:</w:t>
      </w:r>
      <w:r>
        <w:t xml:space="preserve"> </w:t>
      </w:r>
      <w:r>
        <w:t xml:space="preserve">a design or recommendation not yet implemented.</w:t>
      </w:r>
    </w:p>
    <w:p>
      <w:pPr>
        <w:pStyle w:val="Compact"/>
        <w:numPr>
          <w:ilvl w:val="0"/>
          <w:numId w:val="1001"/>
        </w:numPr>
      </w:pPr>
      <w:r>
        <w:rPr>
          <w:b/>
          <w:bCs/>
        </w:rPr>
        <w:t xml:space="preserve">External:</w:t>
      </w:r>
      <w:r>
        <w:t xml:space="preserve"> </w:t>
      </w:r>
      <w:r>
        <w:t xml:space="preserve">supported by an outside primary source.</w:t>
      </w:r>
    </w:p>
    <w:p>
      <w:pPr>
        <w:pStyle w:val="Compact"/>
        <w:numPr>
          <w:ilvl w:val="0"/>
          <w:numId w:val="1001"/>
        </w:numPr>
      </w:pPr>
      <w:r>
        <w:rPr>
          <w:b/>
          <w:bCs/>
        </w:rPr>
        <w:t xml:space="preserve">Unverified:</w:t>
      </w:r>
      <w:r>
        <w:t xml:space="preserve"> </w:t>
      </w:r>
      <w:r>
        <w:t xml:space="preserve">not adequately supported and not stated as fact.</w:t>
      </w:r>
    </w:p>
    <w:bookmarkEnd w:id="21"/>
    <w:bookmarkStart w:id="22" w:name="claim-status"/>
    <w:p>
      <w:pPr>
        <w:pStyle w:val="Heading2"/>
      </w:pPr>
      <w:r>
        <w:t xml:space="preserve">1.2 Claim status</w:t>
      </w:r>
    </w:p>
    <w:p>
      <w:pPr>
        <w:pStyle w:val="Compact"/>
        <w:numPr>
          <w:ilvl w:val="0"/>
          <w:numId w:val="1002"/>
        </w:numPr>
      </w:pPr>
      <w:r>
        <w:rPr>
          <w:b/>
          <w:bCs/>
        </w:rPr>
        <w:t xml:space="preserve">Supported:</w:t>
      </w:r>
      <w:r>
        <w:t xml:space="preserve"> </w:t>
      </w:r>
      <w:r>
        <w:t xml:space="preserve">the available evidence stands.</w:t>
      </w:r>
    </w:p>
    <w:p>
      <w:pPr>
        <w:pStyle w:val="Compact"/>
        <w:numPr>
          <w:ilvl w:val="0"/>
          <w:numId w:val="1002"/>
        </w:numPr>
      </w:pPr>
      <w:r>
        <w:rPr>
          <w:b/>
          <w:bCs/>
        </w:rPr>
        <w:t xml:space="preserve">Refuted:</w:t>
      </w:r>
      <w:r>
        <w:t xml:space="preserve"> </w:t>
      </w:r>
      <w:r>
        <w:t xml:space="preserve">evidence shows the claim false.</w:t>
      </w:r>
    </w:p>
    <w:p>
      <w:pPr>
        <w:pStyle w:val="Compact"/>
        <w:numPr>
          <w:ilvl w:val="0"/>
          <w:numId w:val="1002"/>
        </w:numPr>
      </w:pPr>
      <w:r>
        <w:rPr>
          <w:b/>
          <w:bCs/>
        </w:rPr>
        <w:t xml:space="preserve">Open:</w:t>
      </w:r>
      <w:r>
        <w:t xml:space="preserve"> </w:t>
      </w:r>
      <w:r>
        <w:t xml:space="preserve">the available evidence does not settle the claim.</w:t>
      </w:r>
    </w:p>
    <w:p>
      <w:pPr>
        <w:pStyle w:val="Compact"/>
        <w:numPr>
          <w:ilvl w:val="0"/>
          <w:numId w:val="1002"/>
        </w:numPr>
      </w:pPr>
      <w:r>
        <w:rPr>
          <w:b/>
          <w:bCs/>
        </w:rPr>
        <w:t xml:space="preserve">Superseded:</w:t>
      </w:r>
      <w:r>
        <w:t xml:space="preserve"> </w:t>
      </w:r>
      <w:r>
        <w:t xml:space="preserve">a later claim replaces it.</w:t>
      </w:r>
    </w:p>
    <w:p>
      <w:pPr>
        <w:pStyle w:val="Compact"/>
        <w:numPr>
          <w:ilvl w:val="0"/>
          <w:numId w:val="1002"/>
        </w:numPr>
      </w:pPr>
      <w:r>
        <w:rPr>
          <w:b/>
          <w:bCs/>
        </w:rPr>
        <w:t xml:space="preserve">Withdrawn:</w:t>
      </w:r>
      <w:r>
        <w:t xml:space="preserve"> </w:t>
      </w:r>
      <w:r>
        <w:t xml:space="preserve">the author retracts it rather than evidence disproving it.</w:t>
      </w:r>
    </w:p>
    <w:p>
      <w:pPr>
        <w:pStyle w:val="FirstParagraph"/>
      </w:pPr>
      <w:r>
        <w:t xml:space="preserve">The main paper uses these concepts selectively. This supplement retains them because the case itself depends on the distinction between a well-measured false claim and a claim that merely lacks evidence.</w:t>
      </w:r>
    </w:p>
    <w:bookmarkEnd w:id="22"/>
    <w:bookmarkEnd w:id="23"/>
    <w:bookmarkStart w:id="24" w:name="central-claim-audit"/>
    <w:p>
      <w:pPr>
        <w:pStyle w:val="Heading1"/>
      </w:pPr>
      <w:r>
        <w:t xml:space="preserve">2. Central Claim Audit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blHeader w:val="true"/>
          <w:cantSplit/>
        </w:trPr>
        <w:tc>
          <w:tcPr/>
          <w:p>
            <w:pPr>
              <w:pStyle w:val="Compact"/>
              <w:spacing w:after="30"/>
              <w:jc w:val="left"/>
            </w:pPr>
            <w:r>
              <w:rPr>
                <w:rFonts w:ascii="Cambria" w:hAnsi="Cambria"/>
                <w:sz w:val="18"/>
              </w:rPr>
              <w:t xml:space="preserve">Claim</w:t>
            </w:r>
          </w:p>
        </w:tc>
        <w:tc>
          <w:tcPr/>
          <w:p>
            <w:pPr>
              <w:pStyle w:val="Compact"/>
              <w:spacing w:after="30"/>
              <w:jc w:val="left"/>
            </w:pPr>
            <w:r>
              <w:rPr>
                <w:rFonts w:ascii="Cambria" w:hAnsi="Cambria"/>
                <w:sz w:val="18"/>
              </w:rPr>
              <w:t xml:space="preserve">Evidence class</w:t>
            </w:r>
          </w:p>
        </w:tc>
        <w:tc>
          <w:tcPr/>
          <w:p>
            <w:pPr>
              <w:pStyle w:val="Compact"/>
              <w:spacing w:after="30"/>
              <w:jc w:val="left"/>
            </w:pPr>
            <w:r>
              <w:rPr>
                <w:rFonts w:ascii="Cambria" w:hAnsi="Cambria"/>
                <w:sz w:val="18"/>
              </w:rPr>
              <w:t xml:space="preserve">Status</w:t>
            </w:r>
          </w:p>
        </w:tc>
        <w:tc>
          <w:tcPr/>
          <w:p>
            <w:pPr>
              <w:pStyle w:val="Compact"/>
              <w:spacing w:after="30"/>
              <w:jc w:val="left"/>
            </w:pPr>
            <w:r>
              <w:rPr>
                <w:rFonts w:ascii="Cambria" w:hAnsi="Cambria"/>
                <w:sz w:val="18"/>
              </w:rPr>
              <w:t xml:space="preserve">Source basis</w:t>
            </w:r>
          </w:p>
        </w:tc>
        <w:tc>
          <w:tcPr/>
          <w:p>
            <w:pPr>
              <w:pStyle w:val="Compact"/>
              <w:spacing w:after="30"/>
              <w:jc w:val="left"/>
            </w:pPr>
            <w:r>
              <w:rPr>
                <w:rFonts w:ascii="Cambria" w:hAnsi="Cambria"/>
                <w:sz w:val="18"/>
              </w:rPr>
              <w:t xml:space="preserve">Limitation</w:t>
            </w:r>
          </w:p>
        </w:tc>
      </w:tr>
      <w:tr>
        <w:trPr>
          <w:cantSplit/>
        </w:trPr>
        <w:tc>
          <w:tcPr/>
          <w:p>
            <w:pPr>
              <w:pStyle w:val="Compact"/>
              <w:spacing w:after="30"/>
              <w:jc w:val="left"/>
            </w:pPr>
            <w:r>
              <w:rPr>
                <w:rFonts w:ascii="Cambria" w:hAnsi="Cambria"/>
                <w:sz w:val="18"/>
              </w:rPr>
              <w:t xml:space="preserve">The analyzer renders four agent-facing states</w:t>
            </w:r>
          </w:p>
        </w:tc>
        <w:tc>
          <w:tcPr/>
          <w:p>
            <w:pPr>
              <w:pStyle w:val="Compact"/>
              <w:spacing w:after="30"/>
              <w:jc w:val="left"/>
            </w:pPr>
            <w:r>
              <w:rPr>
                <w:rFonts w:ascii="Cambria" w:hAnsi="Cambria"/>
                <w:sz w:val="18"/>
              </w:rPr>
              <w:t xml:space="preserve">Verified</w:t>
            </w:r>
          </w:p>
        </w:tc>
        <w:tc>
          <w:tcPr/>
          <w:p>
            <w:pPr>
              <w:pStyle w:val="Compact"/>
              <w:spacing w:after="30"/>
              <w:jc w:val="left"/>
            </w:pPr>
            <w:r>
              <w:rPr>
                <w:rFonts w:ascii="Cambria" w:hAnsi="Cambria"/>
                <w:sz w:val="18"/>
              </w:rPr>
              <w:t xml:space="preserve">Supported</w:t>
            </w:r>
          </w:p>
        </w:tc>
        <w:tc>
          <w:tcPr/>
          <w:p>
            <w:pPr>
              <w:pStyle w:val="Compact"/>
              <w:spacing w:after="30"/>
              <w:jc w:val="left"/>
            </w:pPr>
            <w:r>
              <w:rPr>
                <w:rFonts w:ascii="Cambria" w:hAnsi="Cambria"/>
                <w:sz w:val="18"/>
              </w:rPr>
              <w:t xml:space="preserve">Status resolver and banner renderer in</w:t>
            </w:r>
            <w:r>
              <w:rPr>
                <w:rFonts w:ascii="Cambria" w:hAnsi="Cambria"/>
                <w:sz w:val="18"/>
              </w:rPr>
              <w:t xml:space="preserve"> </w:t>
            </w:r>
            <w:r>
              <w:rPr>
                <w:rStyle w:val="VerbatimChar"/>
                <w:rFonts w:ascii="Cambria" w:hAnsi="Cambria"/>
                <w:sz w:val="18"/>
              </w:rPr>
              <w:t xml:space="preserve">scripts/lib/lsp-common.ps1</w:t>
            </w:r>
          </w:p>
        </w:tc>
        <w:tc>
          <w:tcPr/>
          <w:p>
            <w:pPr>
              <w:pStyle w:val="Compact"/>
              <w:spacing w:after="30"/>
              <w:jc w:val="left"/>
            </w:pPr>
            <w:r>
              <w:rPr>
                <w:rFonts w:ascii="Cambria" w:hAnsi="Cambria"/>
                <w:sz w:val="18"/>
              </w:rPr>
              <w:t xml:space="preserve">End-to-end total reachability is not measured</w:t>
            </w:r>
          </w:p>
        </w:tc>
      </w:tr>
      <w:tr>
        <w:trPr>
          <w:cantSplit/>
        </w:trPr>
        <w:tc>
          <w:tcPr/>
          <w:p>
            <w:pPr>
              <w:pStyle w:val="Compact"/>
              <w:spacing w:after="30"/>
              <w:jc w:val="left"/>
            </w:pPr>
            <w:r>
              <w:rPr>
                <w:rFonts w:ascii="Cambria" w:hAnsi="Cambria"/>
                <w:sz w:val="18"/>
              </w:rPr>
              <w:t xml:space="preserve">The ledger originally encoded absence, known-empty, and derived results</w:t>
            </w:r>
          </w:p>
        </w:tc>
        <w:tc>
          <w:tcPr/>
          <w:p>
            <w:pPr>
              <w:pStyle w:val="Compact"/>
              <w:spacing w:after="30"/>
              <w:jc w:val="left"/>
            </w:pPr>
            <w:r>
              <w:rPr>
                <w:rFonts w:ascii="Cambria" w:hAnsi="Cambria"/>
                <w:sz w:val="18"/>
              </w:rPr>
              <w:t xml:space="preserve">Verified</w:t>
            </w:r>
          </w:p>
        </w:tc>
        <w:tc>
          <w:tcPr/>
          <w:p>
            <w:pPr>
              <w:pStyle w:val="Compact"/>
              <w:spacing w:after="30"/>
              <w:jc w:val="left"/>
            </w:pPr>
            <w:r>
              <w:rPr>
                <w:rFonts w:ascii="Cambria" w:hAnsi="Cambria"/>
                <w:sz w:val="18"/>
              </w:rPr>
              <w:t xml:space="preserve">Supported</w:t>
            </w:r>
          </w:p>
        </w:tc>
        <w:tc>
          <w:tcPr/>
          <w:p>
            <w:pPr>
              <w:pStyle w:val="Compact"/>
              <w:spacing w:after="30"/>
              <w:jc w:val="left"/>
            </w:pPr>
            <w:r>
              <w:rPr>
                <w:rStyle w:val="VerbatimChar"/>
                <w:rFonts w:ascii="Cambria" w:hAnsi="Cambria"/>
                <w:sz w:val="18"/>
              </w:rPr>
              <w:t xml:space="preserve">scripts/rule-efficacy-ledger.ps1</w:t>
            </w:r>
          </w:p>
        </w:tc>
        <w:tc>
          <w:tcPr/>
          <w:p>
            <w:pPr>
              <w:pStyle w:val="Compact"/>
              <w:spacing w:after="30"/>
              <w:jc w:val="left"/>
            </w:pPr>
            <w:r>
              <w:rPr>
                <w:rFonts w:ascii="Cambria" w:hAnsi="Cambria"/>
                <w:sz w:val="18"/>
              </w:rPr>
              <w:t xml:space="preserve">Local rendering correctness did not establish operational correctness</w:t>
            </w:r>
          </w:p>
        </w:tc>
      </w:tr>
      <w:tr>
        <w:trPr>
          <w:cantSplit/>
        </w:trPr>
        <w:tc>
          <w:tcPr/>
          <w:p>
            <w:pPr>
              <w:pStyle w:val="Compact"/>
              <w:spacing w:after="30"/>
              <w:jc w:val="left"/>
            </w:pPr>
            <w:r>
              <w:rPr>
                <w:rFonts w:ascii="Cambria" w:hAnsi="Cambria"/>
                <w:sz w:val="18"/>
              </w:rPr>
              <w:t xml:space="preserve">The real data root contained three lifecycle files and the fallback contained none</w:t>
            </w:r>
          </w:p>
        </w:tc>
        <w:tc>
          <w:tcPr/>
          <w:p>
            <w:pPr>
              <w:pStyle w:val="Compact"/>
              <w:spacing w:after="30"/>
              <w:jc w:val="left"/>
            </w:pPr>
            <w:r>
              <w:rPr>
                <w:rFonts w:ascii="Cambria" w:hAnsi="Cambria"/>
                <w:sz w:val="18"/>
              </w:rPr>
              <w:t xml:space="preserve">Measured</w:t>
            </w:r>
          </w:p>
        </w:tc>
        <w:tc>
          <w:tcPr/>
          <w:p>
            <w:pPr>
              <w:pStyle w:val="Compact"/>
              <w:spacing w:after="30"/>
              <w:jc w:val="left"/>
            </w:pPr>
            <w:r>
              <w:rPr>
                <w:rFonts w:ascii="Cambria" w:hAnsi="Cambria"/>
                <w:sz w:val="18"/>
              </w:rPr>
              <w:t xml:space="preserve">Supported</w:t>
            </w:r>
          </w:p>
        </w:tc>
        <w:tc>
          <w:tcPr/>
          <w:p>
            <w:pPr>
              <w:pStyle w:val="Compact"/>
              <w:spacing w:after="30"/>
              <w:jc w:val="left"/>
            </w:pPr>
            <w:r>
              <w:rPr>
                <w:rFonts w:ascii="Cambria" w:hAnsi="Cambria"/>
                <w:sz w:val="18"/>
              </w:rPr>
              <w:t xml:space="preserve">Filesystem differential recorded in the source paper</w:t>
            </w:r>
          </w:p>
        </w:tc>
        <w:tc>
          <w:tcPr/>
          <w:p>
            <w:pPr>
              <w:pStyle w:val="Compact"/>
              <w:spacing w:after="30"/>
              <w:jc w:val="left"/>
            </w:pPr>
            <w:r>
              <w:rPr>
                <w:rFonts w:ascii="Cambria" w:hAnsi="Cambria"/>
                <w:sz w:val="18"/>
              </w:rPr>
              <w:t xml:space="preserve">One machine and one captured state</w:t>
            </w:r>
          </w:p>
        </w:tc>
      </w:tr>
      <w:tr>
        <w:trPr>
          <w:cantSplit/>
        </w:trPr>
        <w:tc>
          <w:tcPr/>
          <w:p>
            <w:pPr>
              <w:pStyle w:val="Compact"/>
              <w:spacing w:after="30"/>
              <w:jc w:val="left"/>
            </w:pPr>
            <w:r>
              <w:rPr>
                <w:rFonts w:ascii="Cambria" w:hAnsi="Cambria"/>
                <w:sz w:val="18"/>
              </w:rPr>
              <w:t xml:space="preserve">The pre-repair reader could render world-level absence after searching a substituted root</w:t>
            </w:r>
          </w:p>
        </w:tc>
        <w:tc>
          <w:tcPr/>
          <w:p>
            <w:pPr>
              <w:pStyle w:val="Compact"/>
              <w:spacing w:after="30"/>
              <w:jc w:val="left"/>
            </w:pPr>
            <w:r>
              <w:rPr>
                <w:rFonts w:ascii="Cambria" w:hAnsi="Cambria"/>
                <w:sz w:val="18"/>
              </w:rPr>
              <w:t xml:space="preserve">Verified/Measured</w:t>
            </w:r>
          </w:p>
        </w:tc>
        <w:tc>
          <w:tcPr/>
          <w:p>
            <w:pPr>
              <w:pStyle w:val="Compact"/>
              <w:spacing w:after="30"/>
              <w:jc w:val="left"/>
            </w:pPr>
            <w:r>
              <w:rPr>
                <w:rFonts w:ascii="Cambria" w:hAnsi="Cambria"/>
                <w:sz w:val="18"/>
              </w:rPr>
              <w:t xml:space="preserve">Supported as a historical falsification</w:t>
            </w:r>
          </w:p>
        </w:tc>
        <w:tc>
          <w:tcPr/>
          <w:p>
            <w:pPr>
              <w:pStyle w:val="Compact"/>
              <w:spacing w:after="30"/>
              <w:jc w:val="left"/>
            </w:pPr>
            <w:r>
              <w:rPr>
                <w:rFonts w:ascii="Cambria" w:hAnsi="Cambria"/>
                <w:sz w:val="18"/>
              </w:rPr>
              <w:t xml:space="preserve">Resolver source plus filesystem differential</w:t>
            </w:r>
          </w:p>
        </w:tc>
        <w:tc>
          <w:tcPr/>
          <w:p>
            <w:pPr>
              <w:pStyle w:val="Compact"/>
              <w:spacing w:after="30"/>
              <w:jc w:val="left"/>
            </w:pPr>
            <w:r>
              <w:rPr>
                <w:rFonts w:ascii="Cambria" w:hAnsi="Cambria"/>
                <w:sz w:val="18"/>
              </w:rPr>
              <w:t xml:space="preserve">Historical execution was not reconstructed in the rewrite</w:t>
            </w:r>
          </w:p>
        </w:tc>
      </w:tr>
      <w:tr>
        <w:trPr>
          <w:cantSplit/>
        </w:trPr>
        <w:tc>
          <w:tcPr/>
          <w:p>
            <w:pPr>
              <w:pStyle w:val="Compact"/>
              <w:spacing w:after="30"/>
              <w:jc w:val="left"/>
            </w:pPr>
            <w:r>
              <w:rPr>
                <w:rFonts w:ascii="Cambria" w:hAnsi="Cambria"/>
                <w:sz w:val="18"/>
              </w:rPr>
              <w:t xml:space="preserve">The repair carries root provenance and adds</w:t>
            </w:r>
            <w:r>
              <w:rPr>
                <w:rFonts w:ascii="Cambria" w:hAnsi="Cambria"/>
                <w:sz w:val="18"/>
              </w:rPr>
              <w:t xml:space="preserve"> </w:t>
            </w:r>
            <w:r>
              <w:rPr>
                <w:rStyle w:val="VerbatimChar"/>
                <w:rFonts w:ascii="Cambria" w:hAnsi="Cambria"/>
                <w:sz w:val="18"/>
              </w:rPr>
              <w:t xml:space="preserve">unresolvable</w:t>
            </w:r>
          </w:p>
        </w:tc>
        <w:tc>
          <w:tcPr/>
          <w:p>
            <w:pPr>
              <w:pStyle w:val="Compact"/>
              <w:spacing w:after="30"/>
              <w:jc w:val="left"/>
            </w:pPr>
            <w:r>
              <w:rPr>
                <w:rFonts w:ascii="Cambria" w:hAnsi="Cambria"/>
                <w:sz w:val="18"/>
              </w:rPr>
              <w:t xml:space="preserve">Verified</w:t>
            </w:r>
          </w:p>
        </w:tc>
        <w:tc>
          <w:tcPr/>
          <w:p>
            <w:pPr>
              <w:pStyle w:val="Compact"/>
              <w:spacing w:after="30"/>
              <w:jc w:val="left"/>
            </w:pPr>
            <w:r>
              <w:rPr>
                <w:rFonts w:ascii="Cambria" w:hAnsi="Cambria"/>
                <w:sz w:val="18"/>
              </w:rPr>
              <w:t xml:space="preserve">Supported</w:t>
            </w:r>
          </w:p>
        </w:tc>
        <w:tc>
          <w:tcPr/>
          <w:p>
            <w:pPr>
              <w:pStyle w:val="Compact"/>
              <w:spacing w:after="30"/>
              <w:jc w:val="left"/>
            </w:pPr>
            <w:r>
              <w:rPr>
                <w:rFonts w:ascii="Cambria" w:hAnsi="Cambria"/>
                <w:sz w:val="18"/>
              </w:rPr>
              <w:t xml:space="preserve">Source reads of the shared resolver seam and ledger renderer</w:t>
            </w:r>
          </w:p>
        </w:tc>
        <w:tc>
          <w:tcPr/>
          <w:p>
            <w:pPr>
              <w:pStyle w:val="Compact"/>
              <w:spacing w:after="30"/>
              <w:jc w:val="left"/>
            </w:pPr>
            <w:r>
              <w:rPr>
                <w:rFonts w:ascii="Cambria" w:hAnsi="Cambria"/>
                <w:sz w:val="18"/>
              </w:rPr>
              <w:t xml:space="preserve">Applied at two readers, not enforced tree-wide</w:t>
            </w:r>
          </w:p>
        </w:tc>
      </w:tr>
      <w:tr>
        <w:trPr>
          <w:cantSplit/>
        </w:trPr>
        <w:tc>
          <w:tcPr/>
          <w:p>
            <w:pPr>
              <w:pStyle w:val="Compact"/>
              <w:spacing w:after="30"/>
              <w:jc w:val="left"/>
            </w:pPr>
            <w:r>
              <w:rPr>
                <w:rFonts w:ascii="Cambria" w:hAnsi="Cambria"/>
                <w:sz w:val="18"/>
              </w:rPr>
              <w:t xml:space="preserve">The shipped reader distinguishes fallback-root and known-root conditions</w:t>
            </w:r>
          </w:p>
        </w:tc>
        <w:tc>
          <w:tcPr/>
          <w:p>
            <w:pPr>
              <w:pStyle w:val="Compact"/>
              <w:spacing w:after="30"/>
              <w:jc w:val="left"/>
            </w:pPr>
            <w:r>
              <w:rPr>
                <w:rFonts w:ascii="Cambria" w:hAnsi="Cambria"/>
                <w:sz w:val="18"/>
              </w:rPr>
              <w:t xml:space="preserve">Measured</w:t>
            </w:r>
          </w:p>
        </w:tc>
        <w:tc>
          <w:tcPr/>
          <w:p>
            <w:pPr>
              <w:pStyle w:val="Compact"/>
              <w:spacing w:after="30"/>
              <w:jc w:val="left"/>
            </w:pPr>
            <w:r>
              <w:rPr>
                <w:rFonts w:ascii="Cambria" w:hAnsi="Cambria"/>
                <w:sz w:val="18"/>
              </w:rPr>
              <w:t xml:space="preserve">Supported</w:t>
            </w:r>
          </w:p>
        </w:tc>
        <w:tc>
          <w:tcPr/>
          <w:p>
            <w:pPr>
              <w:pStyle w:val="Compact"/>
              <w:spacing w:after="30"/>
              <w:jc w:val="left"/>
            </w:pPr>
            <w:r>
              <w:rPr>
                <w:rFonts w:ascii="Cambria" w:hAnsi="Cambria"/>
                <w:sz w:val="18"/>
              </w:rPr>
              <w:t xml:space="preserve">Two read-only executions</w:t>
            </w:r>
          </w:p>
        </w:tc>
        <w:tc>
          <w:tcPr/>
          <w:p>
            <w:pPr>
              <w:pStyle w:val="Compact"/>
              <w:spacing w:after="30"/>
              <w:jc w:val="left"/>
            </w:pPr>
            <w:r>
              <w:rPr>
                <w:rFonts w:ascii="Cambria" w:hAnsi="Cambria"/>
                <w:sz w:val="18"/>
              </w:rPr>
              <w:t xml:space="preserve">One machine and current corpus</w:t>
            </w:r>
          </w:p>
        </w:tc>
      </w:tr>
      <w:tr>
        <w:trPr>
          <w:cantSplit/>
        </w:trPr>
        <w:tc>
          <w:tcPr/>
          <w:p>
            <w:pPr>
              <w:pStyle w:val="Compact"/>
              <w:spacing w:after="30"/>
              <w:jc w:val="left"/>
            </w:pPr>
            <w:r>
              <w:rPr>
                <w:rFonts w:ascii="Cambria" w:hAnsi="Cambria"/>
                <w:sz w:val="18"/>
              </w:rPr>
              <w:t xml:space="preserve">Nine of twelve selected tests failed pre-fix and none failed post-fix</w:t>
            </w:r>
          </w:p>
        </w:tc>
        <w:tc>
          <w:tcPr/>
          <w:p>
            <w:pPr>
              <w:pStyle w:val="Compact"/>
              <w:spacing w:after="30"/>
              <w:jc w:val="left"/>
            </w:pPr>
            <w:r>
              <w:rPr>
                <w:rFonts w:ascii="Cambria" w:hAnsi="Cambria"/>
                <w:sz w:val="18"/>
              </w:rPr>
              <w:t xml:space="preserve">Measured in the build record</w:t>
            </w:r>
          </w:p>
        </w:tc>
        <w:tc>
          <w:tcPr/>
          <w:p>
            <w:pPr>
              <w:pStyle w:val="Compact"/>
              <w:spacing w:after="30"/>
              <w:jc w:val="left"/>
            </w:pPr>
            <w:r>
              <w:rPr>
                <w:rFonts w:ascii="Cambria" w:hAnsi="Cambria"/>
                <w:sz w:val="18"/>
              </w:rPr>
              <w:t xml:space="preserve">Supported with caveat</w:t>
            </w:r>
          </w:p>
        </w:tc>
        <w:tc>
          <w:tcPr/>
          <w:p>
            <w:pPr>
              <w:pStyle w:val="Compact"/>
              <w:spacing w:after="30"/>
              <w:jc w:val="left"/>
            </w:pPr>
            <w:r>
              <w:rPr>
                <w:rFonts w:ascii="Cambria" w:hAnsi="Cambria"/>
                <w:sz w:val="18"/>
              </w:rPr>
              <w:t xml:space="preserve">Calibration-build record</w:t>
            </w:r>
          </w:p>
        </w:tc>
        <w:tc>
          <w:tcPr/>
          <w:p>
            <w:pPr>
              <w:pStyle w:val="Compact"/>
              <w:spacing w:after="30"/>
              <w:jc w:val="left"/>
            </w:pPr>
            <w:r>
              <w:rPr>
                <w:rFonts w:ascii="Cambria" w:hAnsi="Cambria"/>
                <w:sz w:val="18"/>
              </w:rPr>
              <w:t xml:space="preserve">Not rerun; run-level rather than per-test criterion</w:t>
            </w:r>
          </w:p>
        </w:tc>
      </w:tr>
      <w:tr>
        <w:trPr>
          <w:cantSplit/>
        </w:trPr>
        <w:tc>
          <w:tcPr/>
          <w:p>
            <w:pPr>
              <w:pStyle w:val="Compact"/>
              <w:spacing w:after="30"/>
              <w:jc w:val="left"/>
            </w:pPr>
            <w:r>
              <w:rPr>
                <w:rFonts w:ascii="Cambria" w:hAnsi="Cambria"/>
                <w:sz w:val="18"/>
              </w:rPr>
              <w:t xml:space="preserve">The analyzer improves agent-written code</w:t>
            </w:r>
          </w:p>
        </w:tc>
        <w:tc>
          <w:tcPr/>
          <w:p>
            <w:pPr>
              <w:pStyle w:val="Compact"/>
              <w:spacing w:after="30"/>
              <w:jc w:val="left"/>
            </w:pPr>
            <w:r>
              <w:rPr>
                <w:rFonts w:ascii="Cambria" w:hAnsi="Cambria"/>
                <w:sz w:val="18"/>
              </w:rPr>
              <w:t xml:space="preserve">Unverified</w:t>
            </w:r>
          </w:p>
        </w:tc>
        <w:tc>
          <w:tcPr/>
          <w:p>
            <w:pPr>
              <w:pStyle w:val="Compact"/>
              <w:spacing w:after="30"/>
              <w:jc w:val="left"/>
            </w:pPr>
            <w:r>
              <w:rPr>
                <w:rFonts w:ascii="Cambria" w:hAnsi="Cambria"/>
                <w:sz w:val="18"/>
              </w:rPr>
              <w:t xml:space="preserve">Open</w:t>
            </w:r>
          </w:p>
        </w:tc>
        <w:tc>
          <w:tcPr/>
          <w:p>
            <w:pPr>
              <w:pStyle w:val="Compact"/>
              <w:spacing w:after="30"/>
              <w:jc w:val="left"/>
            </w:pPr>
            <w:r>
              <w:rPr>
                <w:rFonts w:ascii="Cambria" w:hAnsi="Cambria"/>
                <w:sz w:val="18"/>
              </w:rPr>
              <w:t xml:space="preserve">No corpus, rubric, arms, scorer, or sample size</w:t>
            </w:r>
          </w:p>
        </w:tc>
        <w:tc>
          <w:tcPr/>
          <w:p>
            <w:pPr>
              <w:pStyle w:val="Compact"/>
              <w:spacing w:after="30"/>
              <w:jc w:val="left"/>
            </w:pPr>
            <w:r>
              <w:rPr>
                <w:rFonts w:ascii="Cambria" w:hAnsi="Cambria"/>
                <w:sz w:val="18"/>
              </w:rPr>
              <w:t xml:space="preserve">Outside the paper</w:t>
            </w:r>
          </w:p>
        </w:tc>
      </w:tr>
    </w:tbl>
    <w:bookmarkEnd w:id="24"/>
    <w:bookmarkStart w:id="25" w:name="historical-test-caveat"/>
    <w:p>
      <w:pPr>
        <w:pStyle w:val="Heading1"/>
        <w:pageBreakBefore/>
      </w:pPr>
      <w:r>
        <w:t xml:space="preserve">3. Historical Test Caveat</w:t>
      </w:r>
    </w:p>
    <w:p>
      <w:pPr>
        <w:pStyle w:val="FirstParagraph"/>
      </w:pPr>
      <w:r>
        <w:t xml:space="preserve">The source record contains two different full-suite results:</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cantSplit/>
        </w:trPr>
        <w:tc>
          <w:tcPr/>
          <w:p>
            <w:pPr>
              <w:pStyle w:val="Compact"/>
              <w:spacing w:after="30"/>
              <w:jc w:val="left"/>
            </w:pPr>
            <w:r>
              <w:rPr>
                <w:rFonts w:ascii="Cambria" w:hAnsi="Cambria"/>
                <w:sz w:val="18"/>
              </w:rPr>
              <w:t xml:space="preserve">Record</w:t>
            </w:r>
          </w:p>
        </w:tc>
        <w:tc>
          <w:tcPr/>
          <w:p>
            <w:pPr>
              <w:pStyle w:val="Compact"/>
              <w:spacing w:after="30"/>
              <w:jc w:val="left"/>
            </w:pPr>
            <w:r>
              <w:rPr>
                <w:rFonts w:ascii="Cambria" w:hAnsi="Cambria"/>
                <w:sz w:val="18"/>
              </w:rPr>
              <w:t xml:space="preserve">Reported verdict</w:t>
            </w:r>
          </w:p>
        </w:tc>
      </w:tr>
      <w:tr>
        <w:trPr>
          <w:cantSplit/>
        </w:trPr>
        <w:tc>
          <w:tcPr/>
          <w:p>
            <w:pPr>
              <w:pStyle w:val="Compact"/>
              <w:spacing w:after="30"/>
              <w:jc w:val="left"/>
            </w:pPr>
            <w:r>
              <w:rPr>
                <w:rFonts w:ascii="Cambria" w:hAnsi="Cambria"/>
                <w:sz w:val="18"/>
              </w:rPr>
              <w:t xml:space="preserve">Calibration build</w:t>
            </w:r>
          </w:p>
        </w:tc>
        <w:tc>
          <w:tcPr/>
          <w:p>
            <w:pPr>
              <w:pStyle w:val="Compact"/>
              <w:spacing w:after="30"/>
              <w:jc w:val="left"/>
            </w:pPr>
            <w:r>
              <w:rPr>
                <w:rFonts w:ascii="Cambria" w:hAnsi="Cambria"/>
                <w:sz w:val="18"/>
              </w:rPr>
              <w:t xml:space="preserve">1,396 total; 1,395 passed; 1 failed</w:t>
            </w:r>
          </w:p>
        </w:tc>
      </w:tr>
      <w:tr>
        <w:trPr>
          <w:cantSplit/>
        </w:trPr>
        <w:tc>
          <w:tcPr/>
          <w:p>
            <w:pPr>
              <w:pStyle w:val="Compact"/>
              <w:spacing w:after="30"/>
              <w:jc w:val="left"/>
            </w:pPr>
            <w:r>
              <w:rPr>
                <w:rFonts w:ascii="Cambria" w:hAnsi="Cambria"/>
                <w:sz w:val="18"/>
              </w:rPr>
              <w:t xml:space="preserve">Later anomaly-classification build</w:t>
            </w:r>
          </w:p>
        </w:tc>
        <w:tc>
          <w:tcPr/>
          <w:p>
            <w:pPr>
              <w:pStyle w:val="Compact"/>
              <w:spacing w:after="30"/>
              <w:jc w:val="left"/>
            </w:pPr>
            <w:r>
              <w:rPr>
                <w:rFonts w:ascii="Cambria" w:hAnsi="Cambria"/>
                <w:sz w:val="18"/>
              </w:rPr>
              <w:t xml:space="preserve">2,245 passed; 0 failed; 0 skipped</w:t>
            </w:r>
          </w:p>
        </w:tc>
      </w:tr>
    </w:tbl>
    <w:p>
      <w:pPr>
        <w:pStyle w:val="BodyText"/>
      </w:pPr>
      <w:r>
        <w:t xml:space="preserve">The total-count difference is not interpreted because one enumerating guard walked a directory whose contents differed between measurements. The verdict difference remains unexplained because the invocation producing the earlier failure was not retained. The record does not establish whether that failure was one of the twelve selected tests in the pre-fix/post-fix check.</w:t>
      </w:r>
    </w:p>
    <w:p>
      <w:pPr>
        <w:pStyle w:val="BodyText"/>
      </w:pPr>
      <w:r>
        <w:t xml:space="preserve">The rewritten paper therefore treats the root-state executions as primary evidence and the historical selected-test result as supporting evidence.</w:t>
      </w:r>
    </w:p>
    <w:bookmarkEnd w:id="25"/>
    <w:bookmarkStart w:id="26" w:name="literature-search-boundary"/>
    <w:p>
      <w:pPr>
        <w:pStyle w:val="Heading1"/>
        <w:pageBreakBefore/>
      </w:pPr>
      <w:r>
        <w:t xml:space="preserve">4. Literature Search Boundary</w:t>
      </w:r>
    </w:p>
    <w:p>
      <w:pPr>
        <w:pStyle w:val="FirstParagraph"/>
      </w:pPr>
      <w:r>
        <w:t xml:space="preserve">The source survey retrieved thirteen open-access items through general web search and direct fetches. Twelve supported claims in the original paper; one retrieved SQL-null paper was recorded and set aside as not relevant.</w:t>
      </w:r>
    </w:p>
    <w:p>
      <w:pPr>
        <w:pStyle w:val="BodyText"/>
      </w:pPr>
      <w:r>
        <w:t xml:space="preserve">The survey did not:</w:t>
      </w:r>
    </w:p>
    <w:p>
      <w:pPr>
        <w:pStyle w:val="Compact"/>
        <w:numPr>
          <w:ilvl w:val="0"/>
          <w:numId w:val="1003"/>
        </w:numPr>
      </w:pPr>
      <w:r>
        <w:t xml:space="preserve">query ACM Digital Library, IEEE Xplore, Scopus, or Web of Science;</w:t>
      </w:r>
    </w:p>
    <w:p>
      <w:pPr>
        <w:pStyle w:val="Compact"/>
        <w:numPr>
          <w:ilvl w:val="0"/>
          <w:numId w:val="1003"/>
        </w:numPr>
      </w:pPr>
      <w:r>
        <w:t xml:space="preserve">follow citation graphs forward or backward;</w:t>
      </w:r>
    </w:p>
    <w:p>
      <w:pPr>
        <w:pStyle w:val="Compact"/>
        <w:numPr>
          <w:ilvl w:val="0"/>
          <w:numId w:val="1003"/>
        </w:numPr>
      </w:pPr>
      <w:r>
        <w:t xml:space="preserve">seek non-English sources;</w:t>
      </w:r>
    </w:p>
    <w:p>
      <w:pPr>
        <w:pStyle w:val="Compact"/>
        <w:numPr>
          <w:ilvl w:val="0"/>
          <w:numId w:val="1003"/>
        </w:numPr>
      </w:pPr>
      <w:r>
        <w:t xml:space="preserve">or reach paywalled literature systematically.</w:t>
      </w:r>
    </w:p>
    <w:p>
      <w:pPr>
        <w:pStyle w:val="FirstParagraph"/>
      </w:pPr>
      <w:r>
        <w:t xml:space="preserve">Four intended items could not be retrieved across six attempts. The source record therefore treated a search miss as evidence about the search, not evidence that no prior work exists. The rewritten paper preserves that boundary and makes no exhaustive novelty claim.</w:t>
      </w:r>
    </w:p>
    <w:bookmarkEnd w:id="26"/>
    <w:bookmarkStart w:id="27" w:name="material-moved-out-of-the-main-paper"/>
    <w:p>
      <w:pPr>
        <w:pStyle w:val="Heading1"/>
      </w:pPr>
      <w:r>
        <w:t xml:space="preserve">5. Material Moved Out of the Main Paper</w:t>
      </w:r>
    </w:p>
    <w:p>
      <w:pPr>
        <w:pStyle w:val="FirstParagraph"/>
      </w:pPr>
      <w:r>
        <w:t xml:space="preserve">The following source material was intentionally removed from the reader-facing manuscript and retained conceptually here:</w:t>
      </w:r>
    </w:p>
    <w:p>
      <w:pPr>
        <w:pStyle w:val="Compact"/>
        <w:numPr>
          <w:ilvl w:val="0"/>
          <w:numId w:val="1004"/>
        </w:numPr>
      </w:pPr>
      <w:r>
        <w:t xml:space="preserve">document status and structural-freeze history;</w:t>
      </w:r>
    </w:p>
    <w:p>
      <w:pPr>
        <w:pStyle w:val="Compact"/>
        <w:numPr>
          <w:ilvl w:val="0"/>
          <w:numId w:val="1004"/>
        </w:numPr>
      </w:pPr>
      <w:r>
        <w:t xml:space="preserve">prior title and prior thesis;</w:t>
      </w:r>
    </w:p>
    <w:p>
      <w:pPr>
        <w:pStyle w:val="Compact"/>
        <w:numPr>
          <w:ilvl w:val="0"/>
          <w:numId w:val="1004"/>
        </w:numPr>
      </w:pPr>
      <w:r>
        <w:t xml:space="preserve">seven internal label namespaces;</w:t>
      </w:r>
    </w:p>
    <w:p>
      <w:pPr>
        <w:pStyle w:val="Compact"/>
        <w:numPr>
          <w:ilvl w:val="0"/>
          <w:numId w:val="1004"/>
        </w:numPr>
      </w:pPr>
      <w:r>
        <w:t xml:space="preserve">per-pass change records;</w:t>
      </w:r>
    </w:p>
    <w:p>
      <w:pPr>
        <w:pStyle w:val="Compact"/>
        <w:numPr>
          <w:ilvl w:val="0"/>
          <w:numId w:val="1004"/>
        </w:numPr>
      </w:pPr>
      <w:r>
        <w:t xml:space="preserve">the complete 34-row evidence ledger;</w:t>
      </w:r>
    </w:p>
    <w:p>
      <w:pPr>
        <w:pStyle w:val="Compact"/>
        <w:numPr>
          <w:ilvl w:val="0"/>
          <w:numId w:val="1004"/>
        </w:numPr>
      </w:pPr>
      <w:r>
        <w:t xml:space="preserve">class/status movement tables;</w:t>
      </w:r>
    </w:p>
    <w:p>
      <w:pPr>
        <w:pStyle w:val="Compact"/>
        <w:numPr>
          <w:ilvl w:val="0"/>
          <w:numId w:val="1004"/>
        </w:numPr>
      </w:pPr>
      <w:r>
        <w:t xml:space="preserve">source-skill composition and drafting instructions;</w:t>
      </w:r>
    </w:p>
    <w:p>
      <w:pPr>
        <w:pStyle w:val="Compact"/>
        <w:numPr>
          <w:ilvl w:val="0"/>
          <w:numId w:val="1004"/>
        </w:numPr>
      </w:pPr>
      <w:r>
        <w:t xml:space="preserve">failed-fetch details and raw retrieval paths;</w:t>
      </w:r>
    </w:p>
    <w:p>
      <w:pPr>
        <w:pStyle w:val="Compact"/>
        <w:numPr>
          <w:ilvl w:val="0"/>
          <w:numId w:val="1004"/>
        </w:numPr>
      </w:pPr>
      <w:r>
        <w:t xml:space="preserve">the prior internal decision declining to write the paper;</w:t>
      </w:r>
    </w:p>
    <w:p>
      <w:pPr>
        <w:pStyle w:val="Compact"/>
        <w:numPr>
          <w:ilvl w:val="0"/>
          <w:numId w:val="1004"/>
        </w:numPr>
      </w:pPr>
      <w:r>
        <w:t xml:space="preserve">and detailed apparatus-strip, editorial-tidy, findings-pass, and mover-ruling records.</w:t>
      </w:r>
    </w:p>
    <w:p>
      <w:pPr>
        <w:pStyle w:val="FirstParagraph"/>
      </w:pPr>
      <w:r>
        <w:t xml:space="preserve">These records are useful for auditability but do not advance the technical argument. The rewrite separates them so the paper can be read without understanding its production workflow.</w:t>
      </w:r>
    </w:p>
    <w:bookmarkEnd w:id="27"/>
    <w:bookmarkStart w:id="28" w:name="rewrite-decisions"/>
    <w:p>
      <w:pPr>
        <w:pStyle w:val="Heading1"/>
      </w:pPr>
      <w:r>
        <w:t xml:space="preserve">6. Rewrite Decisions</w:t>
      </w:r>
    </w:p>
    <w:p>
      <w:pPr>
        <w:pStyle w:val="FirstParagraph"/>
      </w:pPr>
      <w:r>
        <w:t xml:space="preserve">The rewrite made the following editorial decisions without changing the underlying evidence:</w:t>
      </w:r>
    </w:p>
    <w:p>
      <w:pPr>
        <w:pStyle w:val="Compact"/>
        <w:numPr>
          <w:ilvl w:val="0"/>
          <w:numId w:val="1005"/>
        </w:numPr>
      </w:pPr>
      <w:r>
        <w:t xml:space="preserve">The main paper begins with the abstract and introduction.</w:t>
      </w:r>
    </w:p>
    <w:p>
      <w:pPr>
        <w:pStyle w:val="Compact"/>
        <w:numPr>
          <w:ilvl w:val="0"/>
          <w:numId w:val="1005"/>
        </w:numPr>
      </w:pPr>
      <w:r>
        <w:t xml:space="preserve">Section and chapter numbering were unified.</w:t>
      </w:r>
    </w:p>
    <w:p>
      <w:pPr>
        <w:pStyle w:val="Compact"/>
        <w:numPr>
          <w:ilvl w:val="0"/>
          <w:numId w:val="1005"/>
        </w:numPr>
      </w:pPr>
      <w:r>
        <w:t xml:space="preserve">The contribution list was reduced from six classified items to three reader-facing contributions.</w:t>
      </w:r>
    </w:p>
    <w:p>
      <w:pPr>
        <w:pStyle w:val="Compact"/>
        <w:numPr>
          <w:ilvl w:val="0"/>
          <w:numId w:val="1005"/>
        </w:numPr>
      </w:pPr>
      <w:r>
        <w:t xml:space="preserve">The evidence ledger was reduced to a central-claim summary.</w:t>
      </w:r>
    </w:p>
    <w:p>
      <w:pPr>
        <w:pStyle w:val="Compact"/>
        <w:numPr>
          <w:ilvl w:val="0"/>
          <w:numId w:val="1005"/>
        </w:numPr>
      </w:pPr>
      <w:r>
        <w:t xml:space="preserve">The literature survey was rewritten as thematic related work.</w:t>
      </w:r>
    </w:p>
    <w:p>
      <w:pPr>
        <w:pStyle w:val="Compact"/>
        <w:numPr>
          <w:ilvl w:val="0"/>
          <w:numId w:val="1005"/>
        </w:numPr>
      </w:pPr>
      <w:r>
        <w:t xml:space="preserve">The proposed unified evidence-state taxonomy was removed from the main paper because it is not implemented.</w:t>
      </w:r>
    </w:p>
    <w:p>
      <w:pPr>
        <w:pStyle w:val="Compact"/>
        <w:numPr>
          <w:ilvl w:val="0"/>
          <w:numId w:val="1005"/>
        </w:numPr>
      </w:pPr>
      <w:r>
        <w:t xml:space="preserve">The internal decline and structural-freeze sections were removed.</w:t>
      </w:r>
    </w:p>
    <w:p>
      <w:pPr>
        <w:pStyle w:val="Compact"/>
        <w:numPr>
          <w:ilvl w:val="0"/>
          <w:numId w:val="1005"/>
        </w:numPr>
      </w:pPr>
      <w:r>
        <w:t xml:space="preserve">The three ASCII diagrams were redrawn as publication figures.</w:t>
      </w:r>
    </w:p>
    <w:p>
      <w:pPr>
        <w:pStyle w:val="Compact"/>
        <w:numPr>
          <w:ilvl w:val="0"/>
          <w:numId w:val="1005"/>
        </w:numPr>
      </w:pPr>
      <w:r>
        <w:t xml:space="preserve">“</w:t>
      </w:r>
      <w:r>
        <w:t xml:space="preserve">Independently authored</w:t>
      </w:r>
      <w:r>
        <w:t xml:space="preserve">”</w:t>
      </w:r>
      <w:r>
        <w:t xml:space="preserve"> </w:t>
      </w:r>
      <w:r>
        <w:t xml:space="preserve">was replaced with</w:t>
      </w:r>
      <w:r>
        <w:t xml:space="preserve"> </w:t>
      </w:r>
      <w:r>
        <w:t xml:space="preserve">“</w:t>
      </w:r>
      <w:r>
        <w:t xml:space="preserve">separately implemented</w:t>
      </w:r>
      <w:r>
        <w:t xml:space="preserve">”</w:t>
      </w:r>
      <w:r>
        <w:t xml:space="preserve"> </w:t>
      </w:r>
      <w:r>
        <w:t xml:space="preserve">or similarly bounded language.</w:t>
      </w:r>
    </w:p>
    <w:p>
      <w:pPr>
        <w:pStyle w:val="Compact"/>
        <w:numPr>
          <w:ilvl w:val="0"/>
          <w:numId w:val="1005"/>
        </w:numPr>
      </w:pPr>
      <w:r>
        <w:t xml:space="preserve">Absolute rhetorical claims were narrowed where the source evidence did not measure their full strength.</w:t>
      </w:r>
    </w:p>
    <w:bookmarkEnd w:id="28"/>
    <w:bookmarkStart w:id="29" w:name="preserved-non-claims"/>
    <w:p>
      <w:pPr>
        <w:pStyle w:val="Heading1"/>
      </w:pPr>
      <w:r>
        <w:t xml:space="preserve">7. Preserved Non-Claims</w:t>
      </w:r>
    </w:p>
    <w:p>
      <w:pPr>
        <w:pStyle w:val="FirstParagraph"/>
      </w:pPr>
      <w:r>
        <w:t xml:space="preserve">The rewrite continues to make none of the following claims:</w:t>
      </w:r>
    </w:p>
    <w:p>
      <w:pPr>
        <w:pStyle w:val="Compact"/>
        <w:numPr>
          <w:ilvl w:val="0"/>
          <w:numId w:val="1006"/>
        </w:numPr>
      </w:pPr>
      <w:r>
        <w:t xml:space="preserve">that the analyzer improves the quality of agent-written code;</w:t>
      </w:r>
    </w:p>
    <w:p>
      <w:pPr>
        <w:pStyle w:val="Compact"/>
        <w:numPr>
          <w:ilvl w:val="0"/>
          <w:numId w:val="1006"/>
        </w:numPr>
      </w:pPr>
      <w:r>
        <w:t xml:space="preserve">that the defect class has been eliminated repository-wide;</w:t>
      </w:r>
    </w:p>
    <w:p>
      <w:pPr>
        <w:pStyle w:val="Compact"/>
        <w:numPr>
          <w:ilvl w:val="0"/>
          <w:numId w:val="1006"/>
        </w:numPr>
      </w:pPr>
      <w:r>
        <w:t xml:space="preserve">that one machine’s latency or capture behavior generalizes;</w:t>
      </w:r>
    </w:p>
    <w:p>
      <w:pPr>
        <w:pStyle w:val="Compact"/>
        <w:numPr>
          <w:ilvl w:val="0"/>
          <w:numId w:val="1006"/>
        </w:numPr>
      </w:pPr>
      <w:r>
        <w:t xml:space="preserve">that the literature search is exhaustive;</w:t>
      </w:r>
    </w:p>
    <w:p>
      <w:pPr>
        <w:pStyle w:val="Compact"/>
        <w:numPr>
          <w:ilvl w:val="0"/>
          <w:numId w:val="1006"/>
        </w:numPr>
      </w:pPr>
      <w:r>
        <w:t xml:space="preserve">that explicit unknown states, provenance, vacuity detection, or differential testing are new concepts;</w:t>
      </w:r>
    </w:p>
    <w:p>
      <w:pPr>
        <w:pStyle w:val="Compact"/>
        <w:numPr>
          <w:ilvl w:val="0"/>
          <w:numId w:val="1006"/>
        </w:numPr>
      </w:pPr>
      <w:r>
        <w:t xml:space="preserve">or that one system establishes prevalence across agent-facing analyzers.</w:t>
      </w:r>
    </w:p>
    <w:bookmarkEnd w:id="29"/>
    <w:sectPr>
      <w:headerReference w:type="default" r:id="rId9"/>
      <w:footerReference w:type="default" r:id="rId10"/>
      <w:pgMar w:top="1080" w:bottom="1037" w:left="1181" w:right="1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Evidence and Revision Audit Supplement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10" w:line="254" w:lineRule="auto"/>
    </w:pPr>
    <w:rPr>
      <w:rFonts w:ascii="Cambria" w:hAnsi="Cambria"/>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rFonts w:ascii="Aptos Display" w:hAnsi="Aptos Display"/>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nderse21/claude-powershell-lsp" TargetMode="External"/><Relationship Id="rId12" Type="http://schemas.openxmlformats.org/officeDocument/2006/relationships/hyperlink" Target="https://github.com/manderse21/claude-powershell-lsp/commit/7c2f1faca9705001966d55eb7b95cc609283fb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and Revision Audit Supplement</dc:title>
  <dc:creator/>
  <cp:keywords/>
  <dcterms:created xsi:type="dcterms:W3CDTF">2026-08-06T01:31:39Z</dcterms:created>
  <dcterms:modified xsi:type="dcterms:W3CDTF">2026-08-06T01:31:39Z</dcterms:modified>
</cp:coreProperties>
</file>