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xx0hx9ajk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🏥 Hospital Patient Record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5kx7wxcbcu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📌 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project is to explore and analyze synthetic hospital patient data to extract meaningful insights that can inform hospital operations, patient care strategies, and resource allocation.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szeoomp0fs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📊 Dataset Overview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records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1,000,000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25 attributes including demographics, medical history, diagnosis, treatment, billing, and hospital details.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6ber6x5w3c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🔍 Exploratory Data Analysis (EDA)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yumy2qfz09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Average Age of Patients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~45.9 years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Majority of patients fall in the middle-aged category, indicating a high demand for chronic illness management.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7cletllc3d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Gender Distribution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~33.38%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Female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~33.23%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~33.38%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 distribution is balanced, making the dataset suitable for comparative gender-based analysis.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7y011kj7l2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Most Common Age Group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76–90 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the highest hospital admissions.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Indicates the hospital serves a large elderly population requiring chronic and geriatric care.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rhb605i2tt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Medical History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50.03%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49.97%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Half of the patients have a medical history, reinforcing the need for continuous care and monitoring.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vy5lwozmk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Smoking Status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Smokers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49.9%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Non-Smokers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50.1%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Balanced distribution allows investigation of lifestyle-related health impacts.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7j4n5gw6o7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Top 5 Diagnoses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Diabetes, Fracture, Hypertension, Cancer, Heart Disease.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Reflects a mix of chronic conditions and emergency care cases.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t4q03ueaz3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 BMI vs Diagnosis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BMI varies slightly across diagnoses (27.97 to 28.04).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strong correlation found between BMI and specific conditions.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2gqy9rmdyw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8. Hospitalization Duration by Gender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genders have an average stay around 182 days.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significant variation by gender.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pawmaqg0vn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9. Smoking Status vs Diagnosis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Smokers are more prone to heart disease, asthma, and respiratory conditions.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Non-smokers see slightly more fractures and cancers.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f32eafvajx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10. Medical History vs Diagnosis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Patients with a medical history are more likely to be diagnosed with chronic illnesses like diabetes and hypertension.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omxxurea1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11. Hospital Branch Load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Bangalore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the highest patient load.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branches handle close to 200,000 patients, indicating balanced operations.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a6gb5dc8t43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12. Average Length of Stay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182.02 days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unusually high and may reflect long-term care cases or synthetic data design.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ajc3qas9wd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13. Department Load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sees the highest patient volume.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Neurology, Cardiology, and Orthopedics are also heavily utilized.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5bdi37yajh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📢 Conclusion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demonstrates how data analytics can uncover meaningful patterns in hospital operations and patient health trends.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insights include: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handles the highest patient volume.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Diabetes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Hypertension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among the most common diagnose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Data-driven healthcare can significantly improve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efficiency, preparedness, and patient outcomes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