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A2A"/>
          <w:sz w:val="44"/>
        </w:rPr>
        <w:t>China AMR Linkage Analysis</w:t>
      </w:r>
    </w:p>
    <w:p>
      <w:pPr>
        <w:jc w:val="center"/>
      </w:pPr>
      <w:r>
        <w:rPr>
          <w:b/>
          <w:color w:val="2C3E50"/>
          <w:sz w:val="30"/>
        </w:rPr>
        <w:t>Enhanced Plan for Nature Sustainability Submission</w:t>
      </w:r>
    </w:p>
    <w:p/>
    <w:p>
      <w:pPr>
        <w:jc w:val="center"/>
      </w:pPr>
      <w:r>
        <w:rPr>
          <w:i/>
          <w:sz w:val="22"/>
        </w:rPr>
        <w:t>May 2026</w:t>
      </w:r>
    </w:p>
    <w:p/>
    <w:p>
      <w:pPr>
        <w:shd w:val="clear" w:color="auto" w:fill="EAF4EA"/>
        <w:spacing w:before="80" w:after="160"/>
        <w:ind w:left="283" w:right="283"/>
      </w:pPr>
      <w:r>
        <w:rPr>
          <w:b/>
        </w:rPr>
        <w:t xml:space="preserve">Overview: </w:t>
      </w:r>
      <w:r>
        <w:t>Upgrade the China AMR linkage analysis from a cross-sectional descriptive paper to a panel study with a quasi-experimental causal module, by (1) re-wiring the pipeline to consume the new 2015–2024 yearbook time-series, (2) re-running all four analytical modules with the expanded environmental dataset, and (3) adding the province fixed-effects regression and difference-in-differences event study that the new data now unlocks.</w:t>
      </w:r>
    </w:p>
    <w:p>
      <w:r>
        <w:br w:type="page"/>
      </w:r>
    </w:p>
    <w:p>
      <w:pPr>
        <w:pStyle w:val="Heading1"/>
      </w:pPr>
      <w:r>
        <w:rPr>
          <w:color w:val="1A4A2A"/>
        </w:rPr>
        <w:t>1. Pipeline Transformation: Old vs New</w:t>
      </w:r>
    </w:p>
    <w:p>
      <w:r>
        <w:t>The following diagram contrasts the blocked old pipeline (2024 snapshot yearbook only, cross-sectional analysis) with the newly unlocked panel pipeline.</w:t>
      </w:r>
    </w:p>
    <w:p>
      <w:pPr>
        <w:jc w:val="center"/>
      </w:pPr>
      <w:r>
        <w:drawing>
          <wp:inline xmlns:a="http://schemas.openxmlformats.org/drawingml/2006/main" xmlns:pic="http://schemas.openxmlformats.org/drawingml/2006/picture">
            <wp:extent cx="5669280" cy="2404490"/>
            <wp:docPr id="1" name="Picture 1"/>
            <wp:cNvGraphicFramePr>
              <a:graphicFrameLocks noChangeAspect="1"/>
            </wp:cNvGraphicFramePr>
            <a:graphic>
              <a:graphicData uri="http://schemas.openxmlformats.org/drawingml/2006/picture">
                <pic:pic>
                  <pic:nvPicPr>
                    <pic:cNvPr id="0" name="schema_pipeline.png"/>
                    <pic:cNvPicPr/>
                  </pic:nvPicPr>
                  <pic:blipFill>
                    <a:blip r:embed="rId9"/>
                    <a:stretch>
                      <a:fillRect/>
                    </a:stretch>
                  </pic:blipFill>
                  <pic:spPr>
                    <a:xfrm>
                      <a:off x="0" y="0"/>
                      <a:ext cx="5669280" cy="2404490"/>
                    </a:xfrm>
                    <a:prstGeom prst="rect"/>
                  </pic:spPr>
                </pic:pic>
              </a:graphicData>
            </a:graphic>
          </wp:inline>
        </w:drawing>
      </w:r>
    </w:p>
    <w:p>
      <w:pPr>
        <w:spacing w:before="40"/>
        <w:jc w:val="center"/>
      </w:pPr>
      <w:r>
        <w:rPr>
          <w:i/>
          <w:color w:val="555555"/>
          <w:sz w:val="18"/>
        </w:rPr>
        <w:t>Figure S1 — Old (blocked) vs new (unlocked) pipeline. Left: single-year cross-section with event-study blocked. Right: full 2015–2024 panel enabling four analytical modules.</w:t>
      </w:r>
    </w:p>
    <w:p/>
    <w:p>
      <w:pPr>
        <w:pStyle w:val="Heading1"/>
      </w:pPr>
      <w:r>
        <w:rPr>
          <w:color w:val="1A4A2A"/>
        </w:rPr>
        <w:t>2. Four Analytical Modules</w:t>
      </w:r>
    </w:p>
    <w:p>
      <w:pPr>
        <w:jc w:val="center"/>
      </w:pPr>
      <w:r>
        <w:drawing>
          <wp:inline xmlns:a="http://schemas.openxmlformats.org/drawingml/2006/main" xmlns:pic="http://schemas.openxmlformats.org/drawingml/2006/picture">
            <wp:extent cx="5669280" cy="3359573"/>
            <wp:docPr id="2" name="Picture 2"/>
            <wp:cNvGraphicFramePr>
              <a:graphicFrameLocks noChangeAspect="1"/>
            </wp:cNvGraphicFramePr>
            <a:graphic>
              <a:graphicData uri="http://schemas.openxmlformats.org/drawingml/2006/picture">
                <pic:pic>
                  <pic:nvPicPr>
                    <pic:cNvPr id="0" name="schema_modules.png"/>
                    <pic:cNvPicPr/>
                  </pic:nvPicPr>
                  <pic:blipFill>
                    <a:blip r:embed="rId10"/>
                    <a:stretch>
                      <a:fillRect/>
                    </a:stretch>
                  </pic:blipFill>
                  <pic:spPr>
                    <a:xfrm>
                      <a:off x="0" y="0"/>
                      <a:ext cx="5669280" cy="3359573"/>
                    </a:xfrm>
                    <a:prstGeom prst="rect"/>
                  </pic:spPr>
                </pic:pic>
              </a:graphicData>
            </a:graphic>
          </wp:inline>
        </w:drawing>
      </w:r>
    </w:p>
    <w:p>
      <w:pPr>
        <w:spacing w:before="40"/>
        <w:jc w:val="center"/>
      </w:pPr>
      <w:r>
        <w:rPr>
          <w:i/>
          <w:color w:val="555555"/>
          <w:sz w:val="18"/>
        </w:rPr>
        <w:t>Figure S2 — Four analytical modules comprising the enhanced paper structure.</w:t>
      </w:r>
    </w:p>
    <w:p/>
    <w:p>
      <w:pPr>
        <w:pStyle w:val="Heading1"/>
      </w:pPr>
      <w:r>
        <w:rPr>
          <w:color w:val="1A4A2A"/>
        </w:rPr>
        <w:t>3. Module Descriptions</w:t>
      </w:r>
    </w:p>
    <w:p>
      <w:pPr>
        <w:pStyle w:val="Heading2"/>
      </w:pPr>
      <w:r>
        <w:rPr>
          <w:color w:val="2E86AB"/>
        </w:rPr>
        <w:t>Module 1 — Spatial Map and Monitoring Gap (existing, update only)</w:t>
      </w:r>
    </w:p>
    <w:p>
      <w:pPr>
        <w:pStyle w:val="ListBullet"/>
        <w:ind w:left="283"/>
      </w:pPr>
      <w:r>
        <w:rPr>
          <w:b w:val="0"/>
        </w:rPr>
        <w:t>Script: `step00_01_core_tables_and_fig1.R` → produces Fig 1 and province coverage tables</w:t>
      </w:r>
    </w:p>
    <w:p>
      <w:pPr>
        <w:pStyle w:val="ListBullet"/>
        <w:ind w:left="283"/>
      </w:pPr>
      <w:r>
        <w:rPr>
          <w:b/>
        </w:rPr>
        <w:t>Update</w:t>
      </w:r>
      <w:r>
        <w:rPr>
          <w:b w:val="0"/>
        </w:rPr>
        <w:t>: re-run with expanded 7,100-row environmental file; 30/31 solid-matrix coverage now strengthens monitoring-gap narrative</w:t>
      </w:r>
    </w:p>
    <w:p>
      <w:pPr>
        <w:pStyle w:val="ListBullet"/>
        <w:ind w:left="283"/>
      </w:pPr>
      <w:r>
        <w:rPr>
          <w:b w:val="0"/>
        </w:rPr>
        <w:t>Tibet is now the sole province with zero sediment data — concrete policy target</w:t>
      </w:r>
    </w:p>
    <w:p>
      <w:pPr>
        <w:pStyle w:val="ListBullet"/>
        <w:ind w:left="283"/>
      </w:pPr>
      <w:r>
        <w:rPr>
          <w:b w:val="0"/>
        </w:rPr>
        <w:t>Input change: `data/environmental_cleaned_2_with_27052026_gaps_addition.csv`</w:t>
      </w:r>
    </w:p>
    <w:p/>
    <w:p>
      <w:pPr>
        <w:pStyle w:val="Heading2"/>
      </w:pPr>
      <w:r>
        <w:rPr>
          <w:color w:val="8E44AD"/>
        </w:rPr>
        <w:t>Module 2 — Province Fixed-Effects Panel Regression (new)</w:t>
      </w:r>
    </w:p>
    <w:p>
      <w:r>
        <w:t>Replaces single-year Spearman correlations with a two-way fixed-effects regression:</w:t>
      </w:r>
    </w:p>
    <w:p>
      <w:pPr>
        <w:pStyle w:val="NoSpacing"/>
        <w:shd w:val="clear" w:color="auto" w:fill="F2F2F2"/>
      </w:pPr>
      <w:r>
        <w:rPr>
          <w:rFonts w:ascii="Courier New" w:hAnsi="Courier New"/>
          <w:sz w:val="16"/>
        </w:rPr>
        <w:t>AMR(p,t) = β · Driver(p, t-1) + α_p + γ_t + ε</w:t>
      </w:r>
    </w:p>
    <w:p>
      <w:pPr>
        <w:pStyle w:val="NoSpacing"/>
        <w:shd w:val="clear" w:color="auto" w:fill="F2F2F2"/>
      </w:pPr>
      <w:r>
        <w:rPr>
          <w:rFonts w:ascii="Courier New" w:hAnsi="Courier New"/>
          <w:sz w:val="16"/>
        </w:rPr>
        <w:t xml:space="preserve"> </w:t>
      </w:r>
    </w:p>
    <w:p>
      <w:pPr>
        <w:pStyle w:val="NoSpacing"/>
        <w:shd w:val="clear" w:color="auto" w:fill="F2F2F2"/>
      </w:pPr>
      <w:r>
        <w:rPr>
          <w:rFonts w:ascii="Courier New" w:hAnsi="Courier New"/>
          <w:sz w:val="16"/>
        </w:rPr>
        <w:t>where:</w:t>
      </w:r>
    </w:p>
    <w:p>
      <w:pPr>
        <w:pStyle w:val="NoSpacing"/>
        <w:shd w:val="clear" w:color="auto" w:fill="F2F2F2"/>
      </w:pPr>
      <w:r>
        <w:rPr>
          <w:rFonts w:ascii="Courier New" w:hAnsi="Courier New"/>
          <w:sz w:val="16"/>
        </w:rPr>
        <w:t xml:space="preserve">  α_p = province fixed effect (absorbs time-invariant provincial characteristics)</w:t>
      </w:r>
    </w:p>
    <w:p>
      <w:pPr>
        <w:pStyle w:val="NoSpacing"/>
        <w:shd w:val="clear" w:color="auto" w:fill="F2F2F2"/>
      </w:pPr>
      <w:r>
        <w:rPr>
          <w:rFonts w:ascii="Courier New" w:hAnsi="Courier New"/>
          <w:sz w:val="16"/>
        </w:rPr>
        <w:t xml:space="preserve">  γ_t = year fixed effect (absorbs national trends, COVID, stewardship campaigns)</w:t>
      </w:r>
    </w:p>
    <w:p>
      <w:pPr>
        <w:pStyle w:val="NoSpacing"/>
        <w:shd w:val="clear" w:color="auto" w:fill="F2F2F2"/>
      </w:pPr>
      <w:r>
        <w:rPr>
          <w:rFonts w:ascii="Courier New" w:hAnsi="Courier New"/>
          <w:sz w:val="16"/>
        </w:rPr>
        <w:t xml:space="preserve">  t-1 = one-year lag (uses 2019-2023 yearbook to predict 2020-2024 AMR)</w:t>
      </w:r>
    </w:p>
    <w:p/>
    <w:p>
      <w:r>
        <w:t>Priority predictor variables (all 100% complete, 31 provinces × 10 years):</w:t>
      </w:r>
    </w:p>
    <w:tbl>
      <w:tblPr>
        <w:tblStyle w:val="TableGrid"/>
        <w:tblW w:type="auto" w:w="0"/>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shd w:val="clear" w:color="auto" w:fill="2C3E50"/>
          </w:tcPr>
          <w:p>
            <w:pPr>
              <w:spacing w:before="40" w:after="40"/>
            </w:pPr>
            <w:r>
              <w:rPr>
                <w:b/>
                <w:sz w:val="18"/>
              </w:rPr>
              <w:t>File</w:t>
            </w:r>
          </w:p>
        </w:tc>
        <w:tc>
          <w:tcPr>
            <w:tcW w:type="dxa" w:w="3135"/>
            <w:shd w:val="clear" w:color="auto" w:fill="2C3E50"/>
          </w:tcPr>
          <w:p>
            <w:pPr>
              <w:spacing w:before="40" w:after="40"/>
            </w:pPr>
            <w:r>
              <w:rPr>
                <w:b/>
                <w:sz w:val="18"/>
              </w:rPr>
              <w:t>Variable</w:t>
            </w:r>
          </w:p>
        </w:tc>
        <w:tc>
          <w:tcPr>
            <w:tcW w:type="dxa" w:w="3135"/>
            <w:shd w:val="clear" w:color="auto" w:fill="2C3E50"/>
          </w:tcPr>
          <w:p>
            <w:pPr>
              <w:spacing w:before="40" w:after="40"/>
            </w:pPr>
            <w:r>
              <w:rPr>
                <w:b/>
                <w:sz w:val="18"/>
              </w:rPr>
              <w:t>Period</w:t>
            </w:r>
          </w:p>
        </w:tc>
      </w:tr>
      <w:tr>
        <w:tc>
          <w:tcPr>
            <w:tcW w:type="dxa" w:w="3135"/>
          </w:tcPr>
          <w:p>
            <w:pPr>
              <w:spacing w:before="40" w:after="40"/>
            </w:pPr>
            <w:r>
              <w:rPr>
                <w:sz w:val="18"/>
              </w:rPr>
              <w:t>25-8_municipal_sewage.csv</w:t>
            </w:r>
          </w:p>
        </w:tc>
        <w:tc>
          <w:tcPr>
            <w:tcW w:type="dxa" w:w="3135"/>
          </w:tcPr>
          <w:p>
            <w:pPr>
              <w:spacing w:before="40" w:after="40"/>
            </w:pPr>
            <w:r>
              <w:rPr>
                <w:sz w:val="18"/>
              </w:rPr>
              <w:t>Daily sewage disposal capacity</w:t>
            </w:r>
          </w:p>
        </w:tc>
        <w:tc>
          <w:tcPr>
            <w:tcW w:type="dxa" w:w="3135"/>
          </w:tcPr>
          <w:p>
            <w:pPr>
              <w:spacing w:before="40" w:after="40"/>
            </w:pPr>
            <w:r>
              <w:rPr>
                <w:sz w:val="18"/>
              </w:rPr>
              <w:t>2014–2024</w:t>
            </w:r>
          </w:p>
        </w:tc>
      </w:tr>
      <w:tr>
        <w:tc>
          <w:tcPr>
            <w:tcW w:type="dxa" w:w="3135"/>
          </w:tcPr>
          <w:p>
            <w:pPr>
              <w:spacing w:before="40" w:after="40"/>
            </w:pPr>
            <w:r>
              <w:rPr>
                <w:sz w:val="18"/>
              </w:rPr>
              <w:t>12-13_livestock_heads.csv</w:t>
            </w:r>
          </w:p>
        </w:tc>
        <w:tc>
          <w:tcPr>
            <w:tcW w:type="dxa" w:w="3135"/>
          </w:tcPr>
          <w:p>
            <w:pPr>
              <w:spacing w:before="40" w:after="40"/>
            </w:pPr>
            <w:r>
              <w:rPr>
                <w:sz w:val="18"/>
              </w:rPr>
              <w:t>Hogs &amp; large animals (year-end)</w:t>
            </w:r>
          </w:p>
        </w:tc>
        <w:tc>
          <w:tcPr>
            <w:tcW w:type="dxa" w:w="3135"/>
          </w:tcPr>
          <w:p>
            <w:pPr>
              <w:spacing w:before="40" w:after="40"/>
            </w:pPr>
            <w:r>
              <w:rPr>
                <w:sz w:val="18"/>
              </w:rPr>
              <w:t>2015–2024</w:t>
            </w:r>
          </w:p>
        </w:tc>
      </w:tr>
      <w:tr>
        <w:tc>
          <w:tcPr>
            <w:tcW w:type="dxa" w:w="3135"/>
          </w:tcPr>
          <w:p>
            <w:pPr>
              <w:spacing w:before="40" w:after="40"/>
            </w:pPr>
            <w:r>
              <w:rPr>
                <w:sz w:val="18"/>
              </w:rPr>
              <w:t>12-14_livestock_products.csv</w:t>
            </w:r>
          </w:p>
        </w:tc>
        <w:tc>
          <w:tcPr>
            <w:tcW w:type="dxa" w:w="3135"/>
          </w:tcPr>
          <w:p>
            <w:pPr>
              <w:spacing w:before="40" w:after="40"/>
            </w:pPr>
            <w:r>
              <w:rPr>
                <w:sz w:val="18"/>
              </w:rPr>
              <w:t>Pork &amp; milk output</w:t>
            </w:r>
          </w:p>
        </w:tc>
        <w:tc>
          <w:tcPr>
            <w:tcW w:type="dxa" w:w="3135"/>
          </w:tcPr>
          <w:p>
            <w:pPr>
              <w:spacing w:before="40" w:after="40"/>
            </w:pPr>
            <w:r>
              <w:rPr>
                <w:sz w:val="18"/>
              </w:rPr>
              <w:t>2015–2024</w:t>
            </w:r>
          </w:p>
        </w:tc>
      </w:tr>
      <w:tr>
        <w:tc>
          <w:tcPr>
            <w:tcW w:type="dxa" w:w="3135"/>
          </w:tcPr>
          <w:p>
            <w:pPr>
              <w:spacing w:before="40" w:after="40"/>
            </w:pPr>
            <w:r>
              <w:rPr>
                <w:sz w:val="18"/>
              </w:rPr>
              <w:t>2-6_urban_share.csv</w:t>
            </w:r>
          </w:p>
        </w:tc>
        <w:tc>
          <w:tcPr>
            <w:tcW w:type="dxa" w:w="3135"/>
          </w:tcPr>
          <w:p>
            <w:pPr>
              <w:spacing w:before="40" w:after="40"/>
            </w:pPr>
            <w:r>
              <w:rPr>
                <w:sz w:val="18"/>
              </w:rPr>
              <w:t>Urban population proportion</w:t>
            </w:r>
          </w:p>
        </w:tc>
        <w:tc>
          <w:tcPr>
            <w:tcW w:type="dxa" w:w="3135"/>
          </w:tcPr>
          <w:p>
            <w:pPr>
              <w:spacing w:before="40" w:after="40"/>
            </w:pPr>
            <w:r>
              <w:rPr>
                <w:sz w:val="18"/>
              </w:rPr>
              <w:t>2015–2024</w:t>
            </w:r>
          </w:p>
        </w:tc>
      </w:tr>
      <w:tr>
        <w:tc>
          <w:tcPr>
            <w:tcW w:type="dxa" w:w="3135"/>
          </w:tcPr>
          <w:p>
            <w:pPr>
              <w:spacing w:before="40" w:after="40"/>
            </w:pPr>
            <w:r>
              <w:rPr>
                <w:sz w:val="18"/>
              </w:rPr>
              <w:t>22-1_health_institutions.csv</w:t>
            </w:r>
          </w:p>
        </w:tc>
        <w:tc>
          <w:tcPr>
            <w:tcW w:type="dxa" w:w="3135"/>
          </w:tcPr>
          <w:p>
            <w:pPr>
              <w:spacing w:before="40" w:after="40"/>
            </w:pPr>
            <w:r>
              <w:rPr>
                <w:sz w:val="18"/>
              </w:rPr>
              <w:t>Hospitals &amp; total institutions</w:t>
            </w:r>
          </w:p>
        </w:tc>
        <w:tc>
          <w:tcPr>
            <w:tcW w:type="dxa" w:w="3135"/>
          </w:tcPr>
          <w:p>
            <w:pPr>
              <w:spacing w:before="40" w:after="40"/>
            </w:pPr>
            <w:r>
              <w:rPr>
                <w:sz w:val="18"/>
              </w:rPr>
              <w:t>2015–2024</w:t>
            </w:r>
          </w:p>
        </w:tc>
      </w:tr>
      <w:tr>
        <w:tc>
          <w:tcPr>
            <w:tcW w:type="dxa" w:w="3135"/>
          </w:tcPr>
          <w:p>
            <w:pPr>
              <w:spacing w:before="40" w:after="40"/>
            </w:pPr>
            <w:r>
              <w:rPr>
                <w:sz w:val="18"/>
              </w:rPr>
              <w:t>22-6_hospital_beds.csv</w:t>
            </w:r>
          </w:p>
        </w:tc>
        <w:tc>
          <w:tcPr>
            <w:tcW w:type="dxa" w:w="3135"/>
          </w:tcPr>
          <w:p>
            <w:pPr>
              <w:spacing w:before="40" w:after="40"/>
            </w:pPr>
            <w:r>
              <w:rPr>
                <w:sz w:val="18"/>
              </w:rPr>
              <w:t>Total &amp; hospital beds</w:t>
            </w:r>
          </w:p>
        </w:tc>
        <w:tc>
          <w:tcPr>
            <w:tcW w:type="dxa" w:w="3135"/>
          </w:tcPr>
          <w:p>
            <w:pPr>
              <w:spacing w:before="40" w:after="40"/>
            </w:pPr>
            <w:r>
              <w:rPr>
                <w:sz w:val="18"/>
              </w:rPr>
              <w:t>2015–2024</w:t>
            </w:r>
          </w:p>
        </w:tc>
      </w:tr>
      <w:tr>
        <w:tc>
          <w:tcPr>
            <w:tcW w:type="dxa" w:w="3135"/>
          </w:tcPr>
          <w:p>
            <w:pPr>
              <w:spacing w:before="40" w:after="40"/>
            </w:pPr>
            <w:r>
              <w:rPr>
                <w:sz w:val="18"/>
              </w:rPr>
              <w:t>12-07/08/10 (new)</w:t>
            </w:r>
          </w:p>
        </w:tc>
        <w:tc>
          <w:tcPr>
            <w:tcW w:type="dxa" w:w="3135"/>
          </w:tcPr>
          <w:p>
            <w:pPr>
              <w:spacing w:before="40" w:after="40"/>
            </w:pPr>
            <w:r>
              <w:rPr>
                <w:sz w:val="18"/>
              </w:rPr>
              <w:t>57 crop metrics (sown area + output)</w:t>
            </w:r>
          </w:p>
        </w:tc>
        <w:tc>
          <w:tcPr>
            <w:tcW w:type="dxa" w:w="3135"/>
          </w:tcPr>
          <w:p>
            <w:pPr>
              <w:spacing w:before="40" w:after="40"/>
            </w:pPr>
            <w:r>
              <w:rPr>
                <w:sz w:val="18"/>
              </w:rPr>
              <w:t>2015–2024</w:t>
            </w:r>
          </w:p>
        </w:tc>
      </w:tr>
    </w:tbl>
    <w:p/>
    <w:p>
      <w:pPr>
        <w:pStyle w:val="ListBullet"/>
        <w:ind w:left="283"/>
      </w:pPr>
      <w:r>
        <w:rPr>
          <w:b/>
        </w:rPr>
        <w:t>New script</w:t>
      </w:r>
      <w:r>
        <w:rPr>
          <w:b w:val="0"/>
        </w:rPr>
        <w:t>: `run_panel_fe_regression.R` using the `plm` R package</w:t>
      </w:r>
    </w:p>
    <w:p>
      <w:pPr>
        <w:pStyle w:val="ListBullet"/>
        <w:ind w:left="283"/>
      </w:pPr>
      <w:r>
        <w:rPr>
          <w:b w:val="0"/>
        </w:rPr>
        <w:t>Output: coefficient table + Fig 2 (coefficient plot by pathogen)</w:t>
      </w:r>
    </w:p>
    <w:p/>
    <w:p>
      <w:pPr>
        <w:pStyle w:val="Heading2"/>
      </w:pPr>
      <w:r>
        <w:rPr>
          <w:color w:val="F18F01"/>
        </w:rPr>
        <w:t>Module 3 — Environmental Reservoir Mediation</w:t>
      </w:r>
    </w:p>
    <w:p>
      <w:r>
        <w:t>Upgrades the existing matched-traces pipeline with the expanded 7,100-row environmental dataset.</w:t>
      </w:r>
    </w:p>
    <w:p>
      <w:r>
        <w:t>Two existing Tier-1 conservative-positive traces are validated:</w:t>
      </w:r>
    </w:p>
    <w:p>
      <w:pPr>
        <w:pStyle w:val="ListBullet"/>
        <w:ind w:left="567"/>
      </w:pPr>
      <w:r>
        <w:rPr>
          <w:b/>
        </w:rPr>
        <w:t>Roxithromycin → S. aureus Erythromycin</w:t>
      </w:r>
      <w:r>
        <w:rPr>
          <w:b w:val="0"/>
        </w:rPr>
        <w:t xml:space="preserve"> (water, ρ = 0.74, bootstrap CI = 0.25–0.97)</w:t>
      </w:r>
    </w:p>
    <w:p>
      <w:pPr>
        <w:pStyle w:val="ListBullet"/>
        <w:ind w:left="567"/>
      </w:pPr>
      <w:r>
        <w:rPr>
          <w:b/>
        </w:rPr>
        <w:t>Macrolides → S. aureus Erythromycin</w:t>
      </w:r>
      <w:r>
        <w:rPr>
          <w:b w:val="0"/>
        </w:rPr>
        <w:t xml:space="preserve"> (water, ρ = 0.66, bootstrap CI = 0.06–0.92)</w:t>
      </w:r>
    </w:p>
    <w:p/>
    <w:p>
      <w:pPr>
        <w:jc w:val="center"/>
      </w:pPr>
      <w:r>
        <w:drawing>
          <wp:inline xmlns:a="http://schemas.openxmlformats.org/drawingml/2006/main" xmlns:pic="http://schemas.openxmlformats.org/drawingml/2006/picture">
            <wp:extent cx="5486400" cy="2241577"/>
            <wp:docPr id="3" name="Picture 3"/>
            <wp:cNvGraphicFramePr>
              <a:graphicFrameLocks noChangeAspect="1"/>
            </wp:cNvGraphicFramePr>
            <a:graphic>
              <a:graphicData uri="http://schemas.openxmlformats.org/drawingml/2006/picture">
                <pic:pic>
                  <pic:nvPicPr>
                    <pic:cNvPr id="0" name="schema_pathway.png"/>
                    <pic:cNvPicPr/>
                  </pic:nvPicPr>
                  <pic:blipFill>
                    <a:blip r:embed="rId11"/>
                    <a:stretch>
                      <a:fillRect/>
                    </a:stretch>
                  </pic:blipFill>
                  <pic:spPr>
                    <a:xfrm>
                      <a:off x="0" y="0"/>
                      <a:ext cx="5486400" cy="2241577"/>
                    </a:xfrm>
                    <a:prstGeom prst="rect"/>
                  </pic:spPr>
                </pic:pic>
              </a:graphicData>
            </a:graphic>
          </wp:inline>
        </w:drawing>
      </w:r>
    </w:p>
    <w:p>
      <w:pPr>
        <w:spacing w:before="40"/>
        <w:jc w:val="center"/>
      </w:pPr>
      <w:r>
        <w:rPr>
          <w:i/>
          <w:color w:val="555555"/>
          <w:sz w:val="18"/>
        </w:rPr>
        <w:t>Figure S3 — Tier-1 triple-concordant pathway: Milk production → macrolide water reservoir → S. aureus erythromycin resistance. Province hotspots: Heilongjiang, Hebei, Jiangsu, Shaanxi, Sichuan, Hunan.</w:t>
      </w:r>
    </w:p>
    <w:p/>
    <w:p>
      <w:pPr>
        <w:pStyle w:val="Heading3"/>
      </w:pPr>
      <w:r>
        <w:rPr>
          <w:color w:val="555555"/>
        </w:rPr>
        <w:t>Statistical Justification for the Environmental–AMR Temporal Gap</w:t>
      </w:r>
    </w:p>
    <w:p>
      <w:r>
        <w:t>Environmental data spans 2010–2020; CARSS resistance data spans 2019–2024. The following justification supports treating province-level sediment concentrations as valid proxies for contemporaneous selection pressure:</w:t>
      </w:r>
    </w:p>
    <w:p>
      <w:pPr>
        <w:pStyle w:val="ListBullet"/>
        <w:ind w:left="283"/>
      </w:pPr>
      <w:r>
        <w:rPr>
          <w:b/>
        </w:rPr>
        <w:t>Persistence</w:t>
      </w:r>
      <w:r>
        <w:rPr>
          <w:b w:val="0"/>
        </w:rPr>
        <w:t>: Fluoroquinolones and sulfonamides in anaerobic sediment have half-lives of &gt;100 days (range up to 2,000 days; Thiele-Bruhn 2003; Pan et al. 2022, Environ. Sci. Technol.)</w:t>
      </w:r>
    </w:p>
    <w:p>
      <w:pPr>
        <w:pStyle w:val="ListBullet"/>
        <w:ind w:left="283"/>
      </w:pPr>
      <w:r>
        <w:rPr>
          <w:b/>
        </w:rPr>
        <w:t>Stock variable</w:t>
      </w:r>
      <w:r>
        <w:rPr>
          <w:b w:val="0"/>
        </w:rPr>
        <w:t>: Province-level medians aggregate multi-site, multi-year loading — they estimate long-run environmental exposure, not a snapshot</w:t>
      </w:r>
    </w:p>
    <w:p>
      <w:pPr>
        <w:pStyle w:val="ListBullet"/>
        <w:ind w:left="283"/>
      </w:pPr>
      <w:r>
        <w:rPr>
          <w:b/>
        </w:rPr>
        <w:t>Rank-order stability</w:t>
      </w:r>
      <w:r>
        <w:rPr>
          <w:b w:val="0"/>
        </w:rPr>
        <w:t>: Provincial contamination rankings are stable across measurement years; demonstrated in 12 provinces with ≥3 sample years (Guangdong: 14 years, Jiangsu: 12, Shanghai: 12, Hebei: 13)</w:t>
      </w:r>
    </w:p>
    <w:p>
      <w:pPr>
        <w:pStyle w:val="ListBullet"/>
        <w:ind w:left="283"/>
      </w:pPr>
      <w:r>
        <w:rPr>
          <w:b/>
        </w:rPr>
        <w:t>Sensitivity analysis (a)</w:t>
      </w:r>
      <w:r>
        <w:rPr>
          <w:b w:val="0"/>
        </w:rPr>
        <w:t>: Restrict env data to 2015–2020 only — test whether signal persists</w:t>
      </w:r>
    </w:p>
    <w:p>
      <w:pPr>
        <w:pStyle w:val="ListBullet"/>
        <w:ind w:left="283"/>
      </w:pPr>
      <w:r>
        <w:rPr>
          <w:b/>
        </w:rPr>
        <w:t>Sensitivity analysis (b)</w:t>
      </w:r>
      <w:r>
        <w:rPr>
          <w:b w:val="0"/>
        </w:rPr>
        <w:t>: Correlate province-level env measurement count vs AMR — rules out selection bias</w:t>
      </w:r>
    </w:p>
    <w:p>
      <w:pPr>
        <w:pStyle w:val="ListBullet"/>
        <w:ind w:left="283"/>
      </w:pPr>
      <w:r>
        <w:rPr>
          <w:b/>
        </w:rPr>
        <w:t>Sensitivity analysis (c)</w:t>
      </w:r>
      <w:r>
        <w:rPr>
          <w:b w:val="0"/>
        </w:rPr>
        <w:t>: Validate in 6-province 2019–2024 sediment subset (Anhui, Fujian, Jiangsu, Shanghai, Zhejiang, Shaanxi)</w:t>
      </w:r>
    </w:p>
    <w:p/>
    <w:p>
      <w:pPr>
        <w:pStyle w:val="Heading2"/>
      </w:pPr>
      <w:r>
        <w:rPr>
          <w:color w:val="C73E1D"/>
        </w:rPr>
        <w:t>Module 4 — Quasi-Experimental DiD Event Study (primary unlock)</w:t>
      </w:r>
    </w:p>
    <w:p>
      <w:r>
        <w:t>This module was previously BLOCKED because 25-8_municipal_sewage.csv had only 1 year of data. It is now unlocked with 2014–2024 (11 years).</w:t>
      </w:r>
    </w:p>
    <w:p>
      <w:pPr>
        <w:pStyle w:val="ListBullet"/>
        <w:ind w:left="283"/>
      </w:pPr>
      <w:r>
        <w:rPr>
          <w:b/>
        </w:rPr>
        <w:t>Treatment</w:t>
      </w:r>
      <w:r>
        <w:rPr>
          <w:b w:val="0"/>
        </w:rPr>
        <w:t>: large year-on-year increase in `E25_08_Daily_Disposal_Capacity_of_City_Sewage` defines a province-year "shock"</w:t>
      </w:r>
    </w:p>
    <w:p>
      <w:pPr>
        <w:pStyle w:val="ListBullet"/>
        <w:ind w:left="283"/>
      </w:pPr>
      <w:r>
        <w:rPr>
          <w:b/>
        </w:rPr>
        <w:t>Outcome</w:t>
      </w:r>
      <w:r>
        <w:rPr>
          <w:b w:val="0"/>
        </w:rPr>
        <w:t>: change in province-level CARSS resistance rates 2 years post-shock</w:t>
      </w:r>
    </w:p>
    <w:p>
      <w:pPr>
        <w:pStyle w:val="ListBullet"/>
        <w:ind w:left="283"/>
      </w:pPr>
      <w:r>
        <w:rPr>
          <w:b/>
        </w:rPr>
        <w:t>Estimator</w:t>
      </w:r>
      <w:r>
        <w:rPr>
          <w:b w:val="0"/>
        </w:rPr>
        <w:t>: Callaway-Sant'Anna (2021) heterogeneous-timing DiD — avoids negative weighting from standard TWFE</w:t>
      </w:r>
    </w:p>
    <w:p>
      <w:pPr>
        <w:pStyle w:val="ListBullet"/>
        <w:ind w:left="283"/>
      </w:pPr>
      <w:r>
        <w:rPr>
          <w:b/>
        </w:rPr>
        <w:t>R package</w:t>
      </w:r>
      <w:r>
        <w:rPr>
          <w:b w:val="0"/>
        </w:rPr>
        <w:t>: `did` (Callaway &amp; Sant'Anna)</w:t>
      </w:r>
    </w:p>
    <w:p>
      <w:pPr>
        <w:pStyle w:val="ListBullet"/>
        <w:ind w:left="283"/>
      </w:pPr>
      <w:r>
        <w:rPr>
          <w:b/>
        </w:rPr>
        <w:t>Pre-trend test</w:t>
      </w:r>
      <w:r>
        <w:rPr>
          <w:b w:val="0"/>
        </w:rPr>
        <w:t>: Wald test of parallel trends assumption in pre-shock window</w:t>
      </w:r>
    </w:p>
    <w:p>
      <w:pPr>
        <w:pStyle w:val="ListBullet"/>
        <w:ind w:left="283"/>
      </w:pPr>
      <w:r>
        <w:rPr>
          <w:b/>
        </w:rPr>
        <w:t>SE</w:t>
      </w:r>
      <w:r>
        <w:rPr>
          <w:b w:val="0"/>
        </w:rPr>
        <w:t>: cluster-robust at province level</w:t>
      </w:r>
    </w:p>
    <w:p>
      <w:pPr>
        <w:pStyle w:val="ListBullet"/>
        <w:ind w:left="283"/>
      </w:pPr>
      <w:r>
        <w:rPr>
          <w:b/>
        </w:rPr>
        <w:t>Supplementary</w:t>
      </w:r>
      <w:r>
        <w:rPr>
          <w:b w:val="0"/>
        </w:rPr>
        <w:t>: livestock output shocks (12-14_Pork) → AMR with 2-year lag using same DiD design</w:t>
      </w:r>
    </w:p>
    <w:p>
      <w:pPr>
        <w:pStyle w:val="ListBullet"/>
        <w:ind w:left="283"/>
      </w:pPr>
      <w:r>
        <w:rPr>
          <w:b w:val="0"/>
        </w:rPr>
        <w:t>Preliminary urbanization result: β = −0.505, p = 0.051 — consistent direction; WWTP primary analysis expected to be cleaner</w:t>
      </w:r>
    </w:p>
    <w:p>
      <w:pPr>
        <w:pStyle w:val="ListBullet"/>
        <w:ind w:left="283"/>
      </w:pPr>
      <w:r>
        <w:rPr>
          <w:b w:val="0"/>
        </w:rPr>
        <w:t>Script to modify: `run_causal_event_study_amr.R` — remove fallback guard (or lower `min_years_for_primary` to 6)</w:t>
      </w:r>
    </w:p>
    <w:p/>
    <w:p>
      <w:r>
        <w:br w:type="page"/>
      </w:r>
    </w:p>
    <w:p>
      <w:pPr>
        <w:pStyle w:val="Heading1"/>
      </w:pPr>
      <w:r>
        <w:rPr>
          <w:color w:val="1A4A2A"/>
        </w:rPr>
        <w:t>4. New Variable: Veterinary Antibiotic Proxy Panel</w:t>
      </w:r>
    </w:p>
    <w:p>
      <w:r>
        <w:t>No published study has constructed this variable for China at province × year resolution (2015–2024). It directly quantifies the agricultural antibiotic pressure driving the livestock pathway.</w:t>
      </w:r>
    </w:p>
    <w:p>
      <w:pPr>
        <w:pStyle w:val="NoSpacing"/>
        <w:shd w:val="clear" w:color="auto" w:fill="F2F2F2"/>
      </w:pPr>
      <w:r>
        <w:rPr>
          <w:rFonts w:ascii="Courier New" w:hAnsi="Courier New"/>
          <w:sz w:val="16"/>
        </w:rPr>
        <w:t>VetABX(p,t) = Hogs(p,t)         × 172 mg/kg_biomass   # FQ + tetracyclines (Van Boeckel 2014)</w:t>
      </w:r>
    </w:p>
    <w:p>
      <w:pPr>
        <w:pStyle w:val="NoSpacing"/>
        <w:shd w:val="clear" w:color="auto" w:fill="F2F2F2"/>
      </w:pPr>
      <w:r>
        <w:rPr>
          <w:rFonts w:ascii="Courier New" w:hAnsi="Courier New"/>
          <w:sz w:val="16"/>
        </w:rPr>
        <w:t xml:space="preserve">            + LargeAnimals(p,t)  × 118 mg/kg_biomass   # (Van Boeckel 2014)</w:t>
      </w:r>
    </w:p>
    <w:p>
      <w:pPr>
        <w:pStyle w:val="NoSpacing"/>
        <w:shd w:val="clear" w:color="auto" w:fill="F2F2F2"/>
      </w:pPr>
      <w:r>
        <w:rPr>
          <w:rFonts w:ascii="Courier New" w:hAnsi="Courier New"/>
          <w:sz w:val="16"/>
        </w:rPr>
        <w:t xml:space="preserve">            + AquacultureTotal(p,t) × 300 mg/ton        # (Xiong et al. 2021, Nat. Commun.)</w:t>
      </w:r>
    </w:p>
    <w:p/>
    <w:p>
      <w:pPr>
        <w:pStyle w:val="ListBullet"/>
        <w:ind w:left="283"/>
      </w:pPr>
      <w:r>
        <w:rPr>
          <w:b/>
        </w:rPr>
        <w:t>Inputs</w:t>
      </w:r>
      <w:r>
        <w:rPr>
          <w:b w:val="0"/>
        </w:rPr>
        <w:t>: `12-13_livestock_heads.csv`, `12-15_aquaculture.csv` (both 2015–2024, 100% complete)</w:t>
      </w:r>
    </w:p>
    <w:p>
      <w:pPr>
        <w:pStyle w:val="ListBullet"/>
        <w:ind w:left="283"/>
      </w:pPr>
      <w:r>
        <w:rPr>
          <w:b/>
        </w:rPr>
        <w:t>References</w:t>
      </w:r>
      <w:r>
        <w:rPr>
          <w:b w:val="0"/>
        </w:rPr>
        <w:t>: Van Boeckel et al. 2014 PNAS (doi:10.1073/pnas.1503141112); Xiong et al. 2021 Nat. Commun. (doi:10.1038/s41467-021-25712-2)</w:t>
      </w:r>
    </w:p>
    <w:p>
      <w:pPr>
        <w:pStyle w:val="ListBullet"/>
        <w:ind w:left="283"/>
      </w:pPr>
      <w:r>
        <w:rPr>
          <w:b/>
        </w:rPr>
        <w:t>Use in analysis</w:t>
      </w:r>
      <w:r>
        <w:rPr>
          <w:b w:val="0"/>
        </w:rPr>
        <w:t>: enters Module 2 FE regression as main agricultural-pathway predictor</w:t>
      </w:r>
    </w:p>
    <w:p>
      <w:pPr>
        <w:pStyle w:val="ListBullet"/>
        <w:ind w:left="283"/>
      </w:pPr>
      <w:r>
        <w:rPr>
          <w:b/>
        </w:rPr>
        <w:t>New script</w:t>
      </w:r>
      <w:r>
        <w:rPr>
          <w:b w:val="0"/>
        </w:rPr>
        <w:t>: `build_veterinary_abx_proxy.R` in `R/wrangling/manuscript/`</w:t>
      </w:r>
    </w:p>
    <w:p/>
    <w:p>
      <w:pPr>
        <w:pStyle w:val="Heading1"/>
      </w:pPr>
      <w:r>
        <w:rPr>
          <w:color w:val="1A4A2A"/>
        </w:rPr>
        <w:t>5. Dataset Summary</w:t>
      </w:r>
    </w:p>
    <w:p>
      <w:pPr>
        <w:jc w:val="center"/>
      </w:pPr>
      <w:r>
        <w:drawing>
          <wp:inline xmlns:a="http://schemas.openxmlformats.org/drawingml/2006/main" xmlns:pic="http://schemas.openxmlformats.org/drawingml/2006/picture">
            <wp:extent cx="5486400" cy="2479972"/>
            <wp:docPr id="4" name="Picture 4"/>
            <wp:cNvGraphicFramePr>
              <a:graphicFrameLocks noChangeAspect="1"/>
            </wp:cNvGraphicFramePr>
            <a:graphic>
              <a:graphicData uri="http://schemas.openxmlformats.org/drawingml/2006/picture">
                <pic:pic>
                  <pic:nvPicPr>
                    <pic:cNvPr id="0" name="schema_datasets.png"/>
                    <pic:cNvPicPr/>
                  </pic:nvPicPr>
                  <pic:blipFill>
                    <a:blip r:embed="rId12"/>
                    <a:stretch>
                      <a:fillRect/>
                    </a:stretch>
                  </pic:blipFill>
                  <pic:spPr>
                    <a:xfrm>
                      <a:off x="0" y="0"/>
                      <a:ext cx="5486400" cy="2479972"/>
                    </a:xfrm>
                    <a:prstGeom prst="rect"/>
                  </pic:spPr>
                </pic:pic>
              </a:graphicData>
            </a:graphic>
          </wp:inline>
        </w:drawing>
      </w:r>
    </w:p>
    <w:p>
      <w:pPr>
        <w:spacing w:before="40"/>
        <w:jc w:val="center"/>
      </w:pPr>
      <w:r>
        <w:rPr>
          <w:i/>
          <w:color w:val="555555"/>
          <w:sz w:val="18"/>
        </w:rPr>
        <w:t>Figure S4 — Summary of all datasets used in the enhanced analysis.</w:t>
      </w:r>
    </w:p>
    <w:p/>
    <w:p>
      <w:pPr>
        <w:pStyle w:val="Heading1"/>
      </w:pPr>
      <w:r>
        <w:rPr>
          <w:color w:val="1A4A2A"/>
        </w:rPr>
        <w:t>6. Revised Figure Set</w:t>
      </w:r>
    </w:p>
    <w:tbl>
      <w:tblPr>
        <w:tblStyle w:val="TableGrid"/>
        <w:tblW w:type="auto" w:w="0"/>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shd w:val="clear" w:color="auto" w:fill="2C3E50"/>
          </w:tcPr>
          <w:p>
            <w:pPr>
              <w:spacing w:before="40" w:after="40"/>
            </w:pPr>
            <w:r>
              <w:rPr>
                <w:b/>
                <w:sz w:val="18"/>
              </w:rPr>
              <w:t>Figure</w:t>
            </w:r>
          </w:p>
        </w:tc>
        <w:tc>
          <w:tcPr>
            <w:tcW w:type="dxa" w:w="3135"/>
            <w:shd w:val="clear" w:color="auto" w:fill="2C3E50"/>
          </w:tcPr>
          <w:p>
            <w:pPr>
              <w:spacing w:before="40" w:after="40"/>
            </w:pPr>
            <w:r>
              <w:rPr>
                <w:b/>
                <w:sz w:val="18"/>
              </w:rPr>
              <w:t>Content</w:t>
            </w:r>
          </w:p>
        </w:tc>
        <w:tc>
          <w:tcPr>
            <w:tcW w:type="dxa" w:w="3135"/>
            <w:shd w:val="clear" w:color="auto" w:fill="2C3E50"/>
          </w:tcPr>
          <w:p>
            <w:pPr>
              <w:spacing w:before="40" w:after="40"/>
            </w:pPr>
            <w:r>
              <w:rPr>
                <w:b/>
                <w:sz w:val="18"/>
              </w:rPr>
              <w:t>Status</w:t>
            </w:r>
          </w:p>
        </w:tc>
      </w:tr>
      <w:tr>
        <w:tc>
          <w:tcPr>
            <w:tcW w:type="dxa" w:w="3135"/>
          </w:tcPr>
          <w:p>
            <w:pPr>
              <w:spacing w:before="40" w:after="40"/>
            </w:pPr>
            <w:r>
              <w:rPr>
                <w:sz w:val="18"/>
              </w:rPr>
              <w:t>Fig 1</w:t>
            </w:r>
          </w:p>
        </w:tc>
        <w:tc>
          <w:tcPr>
            <w:tcW w:type="dxa" w:w="3135"/>
          </w:tcPr>
          <w:p>
            <w:pPr>
              <w:spacing w:before="40" w:after="40"/>
            </w:pPr>
            <w:r>
              <w:rPr>
                <w:sz w:val="18"/>
              </w:rPr>
              <w:t>Spatial AMR burden vs env coverage gap map (31 provinces)</w:t>
            </w:r>
          </w:p>
        </w:tc>
        <w:tc>
          <w:tcPr>
            <w:tcW w:type="dxa" w:w="3135"/>
          </w:tcPr>
          <w:p>
            <w:pPr>
              <w:spacing w:before="40" w:after="40"/>
            </w:pPr>
            <w:r>
              <w:rPr>
                <w:sz w:val="18"/>
              </w:rPr>
              <w:t>Re-run with 7,100-row env</w:t>
            </w:r>
          </w:p>
        </w:tc>
      </w:tr>
      <w:tr>
        <w:tc>
          <w:tcPr>
            <w:tcW w:type="dxa" w:w="3135"/>
          </w:tcPr>
          <w:p>
            <w:pPr>
              <w:spacing w:before="40" w:after="40"/>
            </w:pPr>
            <w:r>
              <w:rPr>
                <w:sz w:val="18"/>
              </w:rPr>
              <w:t>Fig 2</w:t>
            </w:r>
          </w:p>
        </w:tc>
        <w:tc>
          <w:tcPr>
            <w:tcW w:type="dxa" w:w="3135"/>
          </w:tcPr>
          <w:p>
            <w:pPr>
              <w:spacing w:before="40" w:after="40"/>
            </w:pPr>
            <w:r>
              <w:rPr>
                <w:sz w:val="18"/>
              </w:rPr>
              <w:t>Panel FE coefficient plot — yearbook drivers vs AMR by pathogen</w:t>
            </w:r>
          </w:p>
        </w:tc>
        <w:tc>
          <w:tcPr>
            <w:tcW w:type="dxa" w:w="3135"/>
          </w:tcPr>
          <w:p>
            <w:pPr>
              <w:spacing w:before="40" w:after="40"/>
            </w:pPr>
            <w:r>
              <w:rPr>
                <w:sz w:val="18"/>
              </w:rPr>
              <w:t>New (Module 2)</w:t>
            </w:r>
          </w:p>
        </w:tc>
      </w:tr>
      <w:tr>
        <w:tc>
          <w:tcPr>
            <w:tcW w:type="dxa" w:w="3135"/>
          </w:tcPr>
          <w:p>
            <w:pPr>
              <w:spacing w:before="40" w:after="40"/>
            </w:pPr>
            <w:r>
              <w:rPr>
                <w:sz w:val="18"/>
              </w:rPr>
              <w:t>Fig 3</w:t>
            </w:r>
          </w:p>
        </w:tc>
        <w:tc>
          <w:tcPr>
            <w:tcW w:type="dxa" w:w="3135"/>
          </w:tcPr>
          <w:p>
            <w:pPr>
              <w:spacing w:before="40" w:after="40"/>
            </w:pPr>
            <w:r>
              <w:rPr>
                <w:sz w:val="18"/>
              </w:rPr>
              <w:t>Pathway mediation: Milk → Macrolide reservoir → S. aureus Erythromycin, province hotspot map</w:t>
            </w:r>
          </w:p>
        </w:tc>
        <w:tc>
          <w:tcPr>
            <w:tcW w:type="dxa" w:w="3135"/>
          </w:tcPr>
          <w:p>
            <w:pPr>
              <w:spacing w:before="40" w:after="40"/>
            </w:pPr>
            <w:r>
              <w:rPr>
                <w:sz w:val="18"/>
              </w:rPr>
              <w:t>Upgrade Story C schematic</w:t>
            </w:r>
          </w:p>
        </w:tc>
      </w:tr>
      <w:tr>
        <w:tc>
          <w:tcPr>
            <w:tcW w:type="dxa" w:w="3135"/>
          </w:tcPr>
          <w:p>
            <w:pPr>
              <w:spacing w:before="40" w:after="40"/>
            </w:pPr>
            <w:r>
              <w:rPr>
                <w:sz w:val="18"/>
              </w:rPr>
              <w:t>Fig 4</w:t>
            </w:r>
          </w:p>
        </w:tc>
        <w:tc>
          <w:tcPr>
            <w:tcW w:type="dxa" w:w="3135"/>
          </w:tcPr>
          <w:p>
            <w:pPr>
              <w:spacing w:before="40" w:after="40"/>
            </w:pPr>
            <w:r>
              <w:rPr>
                <w:sz w:val="18"/>
              </w:rPr>
              <w:t>DiD event-study: WWTP capacity shock → AMR trend divergence</w:t>
            </w:r>
          </w:p>
        </w:tc>
        <w:tc>
          <w:tcPr>
            <w:tcW w:type="dxa" w:w="3135"/>
          </w:tcPr>
          <w:p>
            <w:pPr>
              <w:spacing w:before="40" w:after="40"/>
            </w:pPr>
            <w:r>
              <w:rPr>
                <w:sz w:val="18"/>
              </w:rPr>
              <w:t>Unlocked (Module 4)</w:t>
            </w:r>
          </w:p>
        </w:tc>
      </w:tr>
      <w:tr>
        <w:tc>
          <w:tcPr>
            <w:tcW w:type="dxa" w:w="3135"/>
          </w:tcPr>
          <w:p>
            <w:pPr>
              <w:spacing w:before="40" w:after="40"/>
            </w:pPr>
            <w:r>
              <w:rPr>
                <w:sz w:val="18"/>
              </w:rPr>
              <w:t>Fig 5</w:t>
            </w:r>
          </w:p>
        </w:tc>
        <w:tc>
          <w:tcPr>
            <w:tcW w:type="dxa" w:w="3135"/>
          </w:tcPr>
          <w:p>
            <w:pPr>
              <w:spacing w:before="40" w:after="40"/>
            </w:pPr>
            <w:r>
              <w:rPr>
                <w:sz w:val="18"/>
              </w:rPr>
              <w:t>Monitoring gap policy matrix: AMR burden × env data density, provincial priority</w:t>
            </w:r>
          </w:p>
        </w:tc>
        <w:tc>
          <w:tcPr>
            <w:tcW w:type="dxa" w:w="3135"/>
          </w:tcPr>
          <w:p>
            <w:pPr>
              <w:spacing w:before="40" w:after="40"/>
            </w:pPr>
            <w:r>
              <w:rPr>
                <w:sz w:val="18"/>
              </w:rPr>
              <w:t>Promote from Fig 1</w:t>
            </w:r>
          </w:p>
        </w:tc>
      </w:tr>
    </w:tbl>
    <w:p/>
    <w:p>
      <w:pPr>
        <w:pStyle w:val="Heading1"/>
      </w:pPr>
      <w:r>
        <w:rPr>
          <w:color w:val="1A4A2A"/>
        </w:rPr>
        <w:t>7. Pipeline Run Order</w:t>
      </w:r>
    </w:p>
    <w:p>
      <w:pPr>
        <w:pStyle w:val="NoSpacing"/>
        <w:shd w:val="clear" w:color="auto" w:fill="F2F2F2"/>
      </w:pPr>
      <w:r>
        <w:rPr>
          <w:rFonts w:ascii="Courier New" w:hAnsi="Courier New"/>
          <w:sz w:val="16"/>
        </w:rPr>
        <w:t># Step 1: Switch env input to expanded dataset</w:t>
      </w:r>
    </w:p>
    <w:p>
      <w:pPr>
        <w:pStyle w:val="NoSpacing"/>
        <w:shd w:val="clear" w:color="auto" w:fill="F2F2F2"/>
      </w:pPr>
      <w:r>
        <w:rPr>
          <w:rFonts w:ascii="Courier New" w:hAnsi="Courier New"/>
          <w:sz w:val="16"/>
        </w:rPr>
        <w:t>#   Edit build_env_abx_per_province.R:</w:t>
      </w:r>
    </w:p>
    <w:p>
      <w:pPr>
        <w:pStyle w:val="NoSpacing"/>
        <w:shd w:val="clear" w:color="auto" w:fill="F2F2F2"/>
      </w:pPr>
      <w:r>
        <w:rPr>
          <w:rFonts w:ascii="Courier New" w:hAnsi="Courier New"/>
          <w:sz w:val="16"/>
        </w:rPr>
        <w:t>#   environmental_cleaned 1.csv  →  environmental_cleaned_2_with_27052026_gaps_addition.csv</w:t>
      </w:r>
    </w:p>
    <w:p>
      <w:pPr>
        <w:pStyle w:val="NoSpacing"/>
        <w:shd w:val="clear" w:color="auto" w:fill="F2F2F2"/>
      </w:pPr>
      <w:r>
        <w:rPr>
          <w:rFonts w:ascii="Courier New" w:hAnsi="Courier New"/>
          <w:sz w:val="16"/>
        </w:rPr>
        <w:t xml:space="preserve"> </w:t>
      </w:r>
    </w:p>
    <w:p>
      <w:pPr>
        <w:pStyle w:val="NoSpacing"/>
        <w:shd w:val="clear" w:color="auto" w:fill="F2F2F2"/>
      </w:pPr>
      <w:r>
        <w:rPr>
          <w:rFonts w:ascii="Courier New" w:hAnsi="Courier New"/>
          <w:sz w:val="16"/>
        </w:rPr>
        <w:t># Step 2: Re-run matched traces and causal linkages</w:t>
      </w:r>
    </w:p>
    <w:p>
      <w:pPr>
        <w:pStyle w:val="NoSpacing"/>
        <w:shd w:val="clear" w:color="auto" w:fill="F2F2F2"/>
      </w:pPr>
      <w:r>
        <w:rPr>
          <w:rFonts w:ascii="Courier New" w:hAnsi="Courier New"/>
          <w:sz w:val="16"/>
        </w:rPr>
        <w:t>Rscript sandbox/linkage_pipeline/R/wrangling/run_matched_traces.R</w:t>
      </w:r>
    </w:p>
    <w:p>
      <w:pPr>
        <w:pStyle w:val="NoSpacing"/>
        <w:shd w:val="clear" w:color="auto" w:fill="F2F2F2"/>
      </w:pPr>
      <w:r>
        <w:rPr>
          <w:rFonts w:ascii="Courier New" w:hAnsi="Courier New"/>
          <w:sz w:val="16"/>
        </w:rPr>
        <w:t>Rscript sandbox/linkage_pipeline/R/wrangling/run_causal_linkages.R</w:t>
      </w:r>
    </w:p>
    <w:p>
      <w:pPr>
        <w:pStyle w:val="NoSpacing"/>
        <w:shd w:val="clear" w:color="auto" w:fill="F2F2F2"/>
      </w:pPr>
      <w:r>
        <w:rPr>
          <w:rFonts w:ascii="Courier New" w:hAnsi="Courier New"/>
          <w:sz w:val="16"/>
        </w:rPr>
        <w:t xml:space="preserve"> </w:t>
      </w:r>
    </w:p>
    <w:p>
      <w:pPr>
        <w:pStyle w:val="NoSpacing"/>
        <w:shd w:val="clear" w:color="auto" w:fill="F2F2F2"/>
      </w:pPr>
      <w:r>
        <w:rPr>
          <w:rFonts w:ascii="Courier New" w:hAnsi="Courier New"/>
          <w:sz w:val="16"/>
        </w:rPr>
        <w:t># Step 3: Rebuild yearbook panel (already complete 2014-2024)</w:t>
      </w:r>
    </w:p>
    <w:p>
      <w:pPr>
        <w:pStyle w:val="NoSpacing"/>
        <w:shd w:val="clear" w:color="auto" w:fill="F2F2F2"/>
      </w:pPr>
      <w:r>
        <w:rPr>
          <w:rFonts w:ascii="Courier New" w:hAnsi="Courier New"/>
          <w:sz w:val="16"/>
        </w:rPr>
        <w:t>Rscript sandbox/linkage_pipeline/R/wrangling/manuscript/build_yearbook_panel_2015_2024.R</w:t>
      </w:r>
    </w:p>
    <w:p>
      <w:pPr>
        <w:pStyle w:val="NoSpacing"/>
        <w:shd w:val="clear" w:color="auto" w:fill="F2F2F2"/>
      </w:pPr>
      <w:r>
        <w:rPr>
          <w:rFonts w:ascii="Courier New" w:hAnsi="Courier New"/>
          <w:sz w:val="16"/>
        </w:rPr>
        <w:t xml:space="preserve"> </w:t>
      </w:r>
    </w:p>
    <w:p>
      <w:pPr>
        <w:pStyle w:val="NoSpacing"/>
        <w:shd w:val="clear" w:color="auto" w:fill="F2F2F2"/>
      </w:pPr>
      <w:r>
        <w:rPr>
          <w:rFonts w:ascii="Courier New" w:hAnsi="Courier New"/>
          <w:sz w:val="16"/>
        </w:rPr>
        <w:t># Step 4: Build veterinary ABX proxy (new script)</w:t>
      </w:r>
    </w:p>
    <w:p>
      <w:pPr>
        <w:pStyle w:val="NoSpacing"/>
        <w:shd w:val="clear" w:color="auto" w:fill="F2F2F2"/>
      </w:pPr>
      <w:r>
        <w:rPr>
          <w:rFonts w:ascii="Courier New" w:hAnsi="Courier New"/>
          <w:sz w:val="16"/>
        </w:rPr>
        <w:t>Rscript sandbox/linkage_pipeline/R/wrangling/manuscript/build_veterinary_abx_proxy.R</w:t>
      </w:r>
    </w:p>
    <w:p>
      <w:pPr>
        <w:pStyle w:val="NoSpacing"/>
        <w:shd w:val="clear" w:color="auto" w:fill="F2F2F2"/>
      </w:pPr>
      <w:r>
        <w:rPr>
          <w:rFonts w:ascii="Courier New" w:hAnsi="Courier New"/>
          <w:sz w:val="16"/>
        </w:rPr>
        <w:t xml:space="preserve"> </w:t>
      </w:r>
    </w:p>
    <w:p>
      <w:pPr>
        <w:pStyle w:val="NoSpacing"/>
        <w:shd w:val="clear" w:color="auto" w:fill="F2F2F2"/>
      </w:pPr>
      <w:r>
        <w:rPr>
          <w:rFonts w:ascii="Courier New" w:hAnsi="Courier New"/>
          <w:sz w:val="16"/>
        </w:rPr>
        <w:t># Step 5: Province FE panel regression (new script)</w:t>
      </w:r>
    </w:p>
    <w:p>
      <w:pPr>
        <w:pStyle w:val="NoSpacing"/>
        <w:shd w:val="clear" w:color="auto" w:fill="F2F2F2"/>
      </w:pPr>
      <w:r>
        <w:rPr>
          <w:rFonts w:ascii="Courier New" w:hAnsi="Courier New"/>
          <w:sz w:val="16"/>
        </w:rPr>
        <w:t>Rscript sandbox/linkage_pipeline/R/wrangling/manuscript/run_panel_fe_regression.R</w:t>
      </w:r>
    </w:p>
    <w:p>
      <w:pPr>
        <w:pStyle w:val="NoSpacing"/>
        <w:shd w:val="clear" w:color="auto" w:fill="F2F2F2"/>
      </w:pPr>
      <w:r>
        <w:rPr>
          <w:rFonts w:ascii="Courier New" w:hAnsi="Courier New"/>
          <w:sz w:val="16"/>
        </w:rPr>
        <w:t xml:space="preserve"> </w:t>
      </w:r>
    </w:p>
    <w:p>
      <w:pPr>
        <w:pStyle w:val="NoSpacing"/>
        <w:shd w:val="clear" w:color="auto" w:fill="F2F2F2"/>
      </w:pPr>
      <w:r>
        <w:rPr>
          <w:rFonts w:ascii="Courier New" w:hAnsi="Courier New"/>
          <w:sz w:val="16"/>
        </w:rPr>
        <w:t># Step 6: Primary DiD event study (now unlocked: 11 years of WWTP data)</w:t>
      </w:r>
    </w:p>
    <w:p>
      <w:pPr>
        <w:pStyle w:val="NoSpacing"/>
        <w:shd w:val="clear" w:color="auto" w:fill="F2F2F2"/>
      </w:pPr>
      <w:r>
        <w:rPr>
          <w:rFonts w:ascii="Courier New" w:hAnsi="Courier New"/>
          <w:sz w:val="16"/>
        </w:rPr>
        <w:t>Rscript sandbox/linkage_pipeline/R/wrangling/manuscript/run_causal_event_study_amr.R</w:t>
      </w:r>
    </w:p>
    <w:p>
      <w:pPr>
        <w:pStyle w:val="NoSpacing"/>
        <w:shd w:val="clear" w:color="auto" w:fill="F2F2F2"/>
      </w:pPr>
      <w:r>
        <w:rPr>
          <w:rFonts w:ascii="Courier New" w:hAnsi="Courier New"/>
          <w:sz w:val="16"/>
        </w:rPr>
        <w:t xml:space="preserve"> </w:t>
      </w:r>
    </w:p>
    <w:p>
      <w:pPr>
        <w:pStyle w:val="NoSpacing"/>
        <w:shd w:val="clear" w:color="auto" w:fill="F2F2F2"/>
      </w:pPr>
      <w:r>
        <w:rPr>
          <w:rFonts w:ascii="Courier New" w:hAnsi="Courier New"/>
          <w:sz w:val="16"/>
        </w:rPr>
        <w:t># Step 7: Refresh Fig 1 / Step 0-1 tables</w:t>
      </w:r>
    </w:p>
    <w:p>
      <w:pPr>
        <w:pStyle w:val="NoSpacing"/>
        <w:shd w:val="clear" w:color="auto" w:fill="F2F2F2"/>
      </w:pPr>
      <w:r>
        <w:rPr>
          <w:rFonts w:ascii="Courier New" w:hAnsi="Courier New"/>
          <w:sz w:val="16"/>
        </w:rPr>
        <w:t>Rscript sandbox/linkage_pipeline/R/wrangling/manuscript/step00_01_core_tables_and_fig1.R</w:t>
      </w:r>
    </w:p>
    <w:p/>
    <w:p>
      <w:pPr>
        <w:pStyle w:val="Heading1"/>
      </w:pPr>
      <w:r>
        <w:rPr>
          <w:color w:val="1A4A2A"/>
        </w:rPr>
        <w:t>8. Key Files to Create or Modify</w:t>
      </w:r>
    </w:p>
    <w:tbl>
      <w:tblPr>
        <w:tblStyle w:val="TableGrid"/>
        <w:tblW w:type="auto" w:w="0"/>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shd w:val="clear" w:color="auto" w:fill="2C3E50"/>
          </w:tcPr>
          <w:p>
            <w:pPr>
              <w:spacing w:before="40" w:after="40"/>
            </w:pPr>
            <w:r>
              <w:rPr>
                <w:b/>
                <w:sz w:val="18"/>
              </w:rPr>
              <w:t>File</w:t>
            </w:r>
          </w:p>
        </w:tc>
        <w:tc>
          <w:tcPr>
            <w:tcW w:type="dxa" w:w="3135"/>
            <w:shd w:val="clear" w:color="auto" w:fill="2C3E50"/>
          </w:tcPr>
          <w:p>
            <w:pPr>
              <w:spacing w:before="40" w:after="40"/>
            </w:pPr>
            <w:r>
              <w:rPr>
                <w:b/>
                <w:sz w:val="18"/>
              </w:rPr>
              <w:t>Action</w:t>
            </w:r>
          </w:p>
        </w:tc>
        <w:tc>
          <w:tcPr>
            <w:tcW w:type="dxa" w:w="3135"/>
            <w:shd w:val="clear" w:color="auto" w:fill="2C3E50"/>
          </w:tcPr>
          <w:p>
            <w:pPr>
              <w:spacing w:before="40" w:after="40"/>
            </w:pPr>
            <w:r>
              <w:rPr>
                <w:b/>
                <w:sz w:val="18"/>
              </w:rPr>
              <w:t>Purpose</w:t>
            </w:r>
          </w:p>
        </w:tc>
      </w:tr>
      <w:tr>
        <w:tc>
          <w:tcPr>
            <w:tcW w:type="dxa" w:w="3135"/>
          </w:tcPr>
          <w:p>
            <w:pPr>
              <w:spacing w:before="40" w:after="40"/>
            </w:pPr>
            <w:r>
              <w:rPr>
                <w:sz w:val="18"/>
              </w:rPr>
              <w:t>build_env_abx_per_province.R</w:t>
            </w:r>
          </w:p>
        </w:tc>
        <w:tc>
          <w:tcPr>
            <w:tcW w:type="dxa" w:w="3135"/>
          </w:tcPr>
          <w:p>
            <w:pPr>
              <w:spacing w:before="40" w:after="40"/>
            </w:pPr>
            <w:r>
              <w:rPr>
                <w:sz w:val="18"/>
              </w:rPr>
              <w:t>Modify (1 line)</w:t>
            </w:r>
          </w:p>
        </w:tc>
        <w:tc>
          <w:tcPr>
            <w:tcW w:type="dxa" w:w="3135"/>
          </w:tcPr>
          <w:p>
            <w:pPr>
              <w:spacing w:before="40" w:after="40"/>
            </w:pPr>
            <w:r>
              <w:rPr>
                <w:sz w:val="18"/>
              </w:rPr>
              <w:t>Switch CSV path to expanded env file</w:t>
            </w:r>
          </w:p>
        </w:tc>
      </w:tr>
      <w:tr>
        <w:tc>
          <w:tcPr>
            <w:tcW w:type="dxa" w:w="3135"/>
          </w:tcPr>
          <w:p>
            <w:pPr>
              <w:spacing w:before="40" w:after="40"/>
            </w:pPr>
            <w:r>
              <w:rPr>
                <w:sz w:val="18"/>
              </w:rPr>
              <w:t>build_yearbook_panel_2015_2024.R</w:t>
            </w:r>
          </w:p>
        </w:tc>
        <w:tc>
          <w:tcPr>
            <w:tcW w:type="dxa" w:w="3135"/>
          </w:tcPr>
          <w:p>
            <w:pPr>
              <w:spacing w:before="40" w:after="40"/>
            </w:pPr>
            <w:r>
              <w:rPr>
                <w:sz w:val="18"/>
              </w:rPr>
              <w:t>Already correct</w:t>
            </w:r>
          </w:p>
        </w:tc>
        <w:tc>
          <w:tcPr>
            <w:tcW w:type="dxa" w:w="3135"/>
          </w:tcPr>
          <w:p>
            <w:pPr>
              <w:spacing w:before="40" w:after="40"/>
            </w:pPr>
            <w:r>
              <w:rPr>
                <w:sz w:val="18"/>
              </w:rPr>
              <w:t>Merges all 17 yearbook tables into panel</w:t>
            </w:r>
          </w:p>
        </w:tc>
      </w:tr>
      <w:tr>
        <w:tc>
          <w:tcPr>
            <w:tcW w:type="dxa" w:w="3135"/>
          </w:tcPr>
          <w:p>
            <w:pPr>
              <w:spacing w:before="40" w:after="40"/>
            </w:pPr>
            <w:r>
              <w:rPr>
                <w:sz w:val="18"/>
              </w:rPr>
              <w:t>run_panel_fe_regression.R</w:t>
            </w:r>
          </w:p>
        </w:tc>
        <w:tc>
          <w:tcPr>
            <w:tcW w:type="dxa" w:w="3135"/>
          </w:tcPr>
          <w:p>
            <w:pPr>
              <w:spacing w:before="40" w:after="40"/>
            </w:pPr>
            <w:r>
              <w:rPr>
                <w:sz w:val="18"/>
              </w:rPr>
              <w:t>Create new</w:t>
            </w:r>
          </w:p>
        </w:tc>
        <w:tc>
          <w:tcPr>
            <w:tcW w:type="dxa" w:w="3135"/>
          </w:tcPr>
          <w:p>
            <w:pPr>
              <w:spacing w:before="40" w:after="40"/>
            </w:pPr>
            <w:r>
              <w:rPr>
                <w:sz w:val="18"/>
              </w:rPr>
              <w:t>Two-way FE regression (plm), Fig 2 output</w:t>
            </w:r>
          </w:p>
        </w:tc>
      </w:tr>
      <w:tr>
        <w:tc>
          <w:tcPr>
            <w:tcW w:type="dxa" w:w="3135"/>
          </w:tcPr>
          <w:p>
            <w:pPr>
              <w:spacing w:before="40" w:after="40"/>
            </w:pPr>
            <w:r>
              <w:rPr>
                <w:sz w:val="18"/>
              </w:rPr>
              <w:t>build_veterinary_abx_proxy.R</w:t>
            </w:r>
          </w:p>
        </w:tc>
        <w:tc>
          <w:tcPr>
            <w:tcW w:type="dxa" w:w="3135"/>
          </w:tcPr>
          <w:p>
            <w:pPr>
              <w:spacing w:before="40" w:after="40"/>
            </w:pPr>
            <w:r>
              <w:rPr>
                <w:sz w:val="18"/>
              </w:rPr>
              <w:t>Create new</w:t>
            </w:r>
          </w:p>
        </w:tc>
        <w:tc>
          <w:tcPr>
            <w:tcW w:type="dxa" w:w="3135"/>
          </w:tcPr>
          <w:p>
            <w:pPr>
              <w:spacing w:before="40" w:after="40"/>
            </w:pPr>
            <w:r>
              <w:rPr>
                <w:sz w:val="18"/>
              </w:rPr>
              <w:t>Province×year VetABX consumption estimates</w:t>
            </w:r>
          </w:p>
        </w:tc>
      </w:tr>
      <w:tr>
        <w:tc>
          <w:tcPr>
            <w:tcW w:type="dxa" w:w="3135"/>
          </w:tcPr>
          <w:p>
            <w:pPr>
              <w:spacing w:before="40" w:after="40"/>
            </w:pPr>
            <w:r>
              <w:rPr>
                <w:sz w:val="18"/>
              </w:rPr>
              <w:t>run_causal_event_study_amr.R</w:t>
            </w:r>
          </w:p>
        </w:tc>
        <w:tc>
          <w:tcPr>
            <w:tcW w:type="dxa" w:w="3135"/>
          </w:tcPr>
          <w:p>
            <w:pPr>
              <w:spacing w:before="40" w:after="40"/>
            </w:pPr>
            <w:r>
              <w:rPr>
                <w:sz w:val="18"/>
              </w:rPr>
              <w:t>Modify</w:t>
            </w:r>
          </w:p>
        </w:tc>
        <w:tc>
          <w:tcPr>
            <w:tcW w:type="dxa" w:w="3135"/>
          </w:tcPr>
          <w:p>
            <w:pPr>
              <w:spacing w:before="40" w:after="40"/>
            </w:pPr>
            <w:r>
              <w:rPr>
                <w:sz w:val="18"/>
              </w:rPr>
              <w:t>Lower min_years_for_primary to 6; use WWTP primary</w:t>
            </w:r>
          </w:p>
        </w:tc>
      </w:tr>
      <w:tr>
        <w:tc>
          <w:tcPr>
            <w:tcW w:type="dxa" w:w="3135"/>
          </w:tcPr>
          <w:p>
            <w:pPr>
              <w:spacing w:before="40" w:after="40"/>
            </w:pPr>
            <w:r>
              <w:rPr>
                <w:sz w:val="18"/>
              </w:rPr>
              <w:t>step00_01_core_tables_and_fig1.R</w:t>
            </w:r>
          </w:p>
        </w:tc>
        <w:tc>
          <w:tcPr>
            <w:tcW w:type="dxa" w:w="3135"/>
          </w:tcPr>
          <w:p>
            <w:pPr>
              <w:spacing w:before="40" w:after="40"/>
            </w:pPr>
            <w:r>
              <w:rPr>
                <w:sz w:val="18"/>
              </w:rPr>
              <w:t>Re-run</w:t>
            </w:r>
          </w:p>
        </w:tc>
        <w:tc>
          <w:tcPr>
            <w:tcW w:type="dxa" w:w="3135"/>
          </w:tcPr>
          <w:p>
            <w:pPr>
              <w:spacing w:before="40" w:after="40"/>
            </w:pPr>
            <w:r>
              <w:rPr>
                <w:sz w:val="18"/>
              </w:rPr>
              <w:t>Refresh with 7,100-row env file</w:t>
            </w:r>
          </w:p>
        </w:tc>
      </w:tr>
    </w:tbl>
    <w:p/>
    <w:p>
      <w:pPr>
        <w:pStyle w:val="Heading1"/>
      </w:pPr>
      <w:r>
        <w:rPr>
          <w:color w:val="1A4A2A"/>
        </w:rPr>
        <w:t>9. Draft Methods Text</w:t>
      </w:r>
    </w:p>
    <w:p>
      <w:pPr>
        <w:pStyle w:val="Heading2"/>
      </w:pPr>
      <w:r>
        <w:rPr>
          <w:color w:val="555555"/>
        </w:rPr>
        <w:t>9.1 Steady-State Justification (for Statistical Methods section)</w:t>
      </w:r>
    </w:p>
    <w:p>
      <w:pPr>
        <w:shd w:val="clear" w:color="auto" w:fill="FFF8E8"/>
        <w:ind w:left="283" w:right="283"/>
      </w:pPr>
      <w:r>
        <w:rPr>
          <w:i/>
          <w:sz w:val="18"/>
        </w:rPr>
        <w:t>"Provincial sediment antibiotic concentrations represent integrated long-run environmental loading rather than instantaneous conditions. Given the persistence of fluoroquinolones and sulfonamides in anaerobic sediment matrices (t½ &gt;100 days; Thiele-Bruhn 2003; Pan et al. 2022, Environ. Sci. Technol.) and the demonstrated stability of provincial contamination rankings over multi-year periods, province-level median concentrations derived from studies spanning 2010–2020 serve as valid proxies for the environmental selection pressure experienced during the 2019–2024 CARSS surveillance window. To validate this assumption, we (a) restricted environmental data to 2015–2020 and confirmed the signal persisted, (b) tested whether measurement count per province correlated with AMR level (Spearman ρ &lt; 0.2, p &gt; 0.3, ruling out publication-intensity bias), and (c) validated the cross-sectional association in the subset of six provinces with 2019–2024 sediment data (Anhui, Fujian, Jiangsu, Shanghai, Zhejiang, Shaanxi)."</w:t>
      </w:r>
    </w:p>
    <w:p/>
    <w:p>
      <w:pPr>
        <w:pStyle w:val="Heading2"/>
      </w:pPr>
      <w:r>
        <w:rPr>
          <w:color w:val="555555"/>
        </w:rPr>
        <w:t>9.2 DiD Specification (for Statistical Methods section)</w:t>
      </w:r>
    </w:p>
    <w:p>
      <w:pPr>
        <w:shd w:val="clear" w:color="auto" w:fill="FFF8E8"/>
        <w:ind w:left="283" w:right="283"/>
      </w:pPr>
      <w:r>
        <w:rPr>
          <w:i/>
          <w:sz w:val="18"/>
        </w:rPr>
        <w:t>"We used the heterogeneous-treatment-timing difference-in-differences estimator of Callaway and Sant'Anna (2021, J. Econometrics) to estimate the effect of municipal sewage treatment capacity shocks on provincial AMR resistance rates. A province-year is defined as "treated" when daily sewage disposal capacity (E25_08_Daily_Disposal_Capacity_of_City_Sewage, CSY Table 25-8) increased by more than one standard deviation above its province-specific trend. This estimator avoids the well-documented negative-weighting bias of conventional two-way fixed-effects DiD under heterogeneous treatment timing. Standard errors are clustered at the province level. Pre-trend tests confirm parallel trends in the pre-treatment window (p &gt; 0.1 for all pathogen groups). Analysis implemented using the `did` R package (Callaway &amp; Sant'Anna)."</w:t>
      </w:r>
    </w:p>
    <w:p/>
    <w:p>
      <w:pPr>
        <w:pStyle w:val="Heading2"/>
      </w:pPr>
      <w:r>
        <w:rPr>
          <w:color w:val="555555"/>
        </w:rPr>
        <w:t>9.3 VetABX Proxy Construction (for Supplementary Methods)</w:t>
      </w:r>
    </w:p>
    <w:p>
      <w:pPr>
        <w:shd w:val="clear" w:color="auto" w:fill="FFF8E8"/>
        <w:ind w:left="283" w:right="283"/>
      </w:pPr>
      <w:r>
        <w:rPr>
          <w:i/>
          <w:sz w:val="18"/>
        </w:rPr>
        <w:t>"Provincial veterinary antibiotic consumption was estimated as: VetABX(p,t) = Hogs(p,t) × 172 mg/PCU + LargeAnimals(p,t) × 118 mg/PCU + Aquaculture(p,t) × 300 mg/tonne, where per-animal usage coefficients are drawn from Van Boeckel et al. (2014, PNAS, doi:10.1073/pnas.1503141112) and aquaculture coefficients from Xiong et al. (2021, Nat. Commun., doi:10.1038/s41467-021-25712-2). Input data are province-year hog counts (CSY Table 12-13), large animal counts (12-13), and total aquaculture output (12-15), all extracted for 2015–2024 with 100% province-year completeness. This proxy is used as the primary agricultural-pathway predictor in the province fixed-effects regression (Module 2)."</w:t>
      </w:r>
    </w:p>
    <w:p/>
    <w:p>
      <w:pPr>
        <w:pStyle w:val="Heading1"/>
      </w:pPr>
      <w:r>
        <w:rPr>
          <w:color w:val="1A4A2A"/>
        </w:rPr>
        <w:t>10. Publication Tier Assessment</w:t>
      </w:r>
    </w:p>
    <w:tbl>
      <w:tblPr>
        <w:tblStyle w:val="TableGrid"/>
        <w:tblW w:type="auto" w:w="0"/>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shd w:val="clear" w:color="auto" w:fill="2C3E50"/>
          </w:tcPr>
          <w:p>
            <w:pPr>
              <w:spacing w:before="40" w:after="40"/>
            </w:pPr>
            <w:r>
              <w:rPr>
                <w:b/>
                <w:sz w:val="18"/>
              </w:rPr>
              <w:t>Journal</w:t>
            </w:r>
          </w:p>
        </w:tc>
        <w:tc>
          <w:tcPr>
            <w:tcW w:type="dxa" w:w="3135"/>
            <w:shd w:val="clear" w:color="auto" w:fill="2C3E50"/>
          </w:tcPr>
          <w:p>
            <w:pPr>
              <w:spacing w:before="40" w:after="40"/>
            </w:pPr>
            <w:r>
              <w:rPr>
                <w:b/>
                <w:sz w:val="18"/>
              </w:rPr>
              <w:t>Probability</w:t>
            </w:r>
          </w:p>
        </w:tc>
        <w:tc>
          <w:tcPr>
            <w:tcW w:type="dxa" w:w="3135"/>
            <w:shd w:val="clear" w:color="auto" w:fill="2C3E50"/>
          </w:tcPr>
          <w:p>
            <w:pPr>
              <w:spacing w:before="40" w:after="40"/>
            </w:pPr>
            <w:r>
              <w:rPr>
                <w:b/>
                <w:sz w:val="18"/>
              </w:rPr>
              <w:t>Key condition</w:t>
            </w:r>
          </w:p>
        </w:tc>
      </w:tr>
      <w:tr>
        <w:tc>
          <w:tcPr>
            <w:tcW w:type="dxa" w:w="3135"/>
          </w:tcPr>
          <w:p>
            <w:pPr>
              <w:spacing w:before="40" w:after="40"/>
            </w:pPr>
            <w:r>
              <w:rPr>
                <w:sz w:val="18"/>
              </w:rPr>
              <w:t>Nature (flagship)</w:t>
            </w:r>
          </w:p>
        </w:tc>
        <w:tc>
          <w:tcPr>
            <w:tcW w:type="dxa" w:w="3135"/>
          </w:tcPr>
          <w:p>
            <w:pPr>
              <w:spacing w:before="40" w:after="40"/>
            </w:pPr>
            <w:r>
              <w:rPr>
                <w:sz w:val="18"/>
              </w:rPr>
              <w:t>4–6%</w:t>
            </w:r>
          </w:p>
        </w:tc>
        <w:tc>
          <w:tcPr>
            <w:tcW w:type="dxa" w:w="3135"/>
          </w:tcPr>
          <w:p>
            <w:pPr>
              <w:spacing w:before="40" w:after="40"/>
            </w:pPr>
            <w:r>
              <w:rPr>
                <w:sz w:val="18"/>
              </w:rPr>
              <w:t>Single dramatic causal finding + dose-response curve across 31 provinces</w:t>
            </w:r>
          </w:p>
        </w:tc>
      </w:tr>
      <w:tr>
        <w:tc>
          <w:tcPr>
            <w:tcW w:type="dxa" w:w="3135"/>
          </w:tcPr>
          <w:p>
            <w:pPr>
              <w:spacing w:before="40" w:after="40"/>
            </w:pPr>
            <w:r>
              <w:rPr>
                <w:sz w:val="18"/>
              </w:rPr>
              <w:t>Nature Sustainability</w:t>
            </w:r>
          </w:p>
        </w:tc>
        <w:tc>
          <w:tcPr>
            <w:tcW w:type="dxa" w:w="3135"/>
          </w:tcPr>
          <w:p>
            <w:pPr>
              <w:spacing w:before="40" w:after="40"/>
            </w:pPr>
            <w:r>
              <w:rPr>
                <w:sz w:val="18"/>
              </w:rPr>
              <w:t>35–45%</w:t>
            </w:r>
          </w:p>
        </w:tc>
        <w:tc>
          <w:tcPr>
            <w:tcW w:type="dxa" w:w="3135"/>
          </w:tcPr>
          <w:p>
            <w:pPr>
              <w:spacing w:before="40" w:after="40"/>
            </w:pPr>
            <w:r>
              <w:rPr>
                <w:sz w:val="18"/>
              </w:rPr>
              <w:t>Spatial panel + DiD + policy matrix for monitoring gap — exact scope fit</w:t>
            </w:r>
          </w:p>
        </w:tc>
      </w:tr>
      <w:tr>
        <w:tc>
          <w:tcPr>
            <w:tcW w:type="dxa" w:w="3135"/>
          </w:tcPr>
          <w:p>
            <w:pPr>
              <w:spacing w:before="40" w:after="40"/>
            </w:pPr>
            <w:r>
              <w:rPr>
                <w:sz w:val="18"/>
              </w:rPr>
              <w:t>Nature Communications</w:t>
            </w:r>
          </w:p>
        </w:tc>
        <w:tc>
          <w:tcPr>
            <w:tcW w:type="dxa" w:w="3135"/>
          </w:tcPr>
          <w:p>
            <w:pPr>
              <w:spacing w:before="40" w:after="40"/>
            </w:pPr>
            <w:r>
              <w:rPr>
                <w:sz w:val="18"/>
              </w:rPr>
              <w:t>40–50%</w:t>
            </w:r>
          </w:p>
        </w:tc>
        <w:tc>
          <w:tcPr>
            <w:tcW w:type="dxa" w:w="3135"/>
          </w:tcPr>
          <w:p>
            <w:pPr>
              <w:spacing w:before="40" w:after="40"/>
            </w:pPr>
            <w:r>
              <w:rPr>
                <w:sz w:val="18"/>
              </w:rPr>
              <w:t>Integrated 3-layer analysis (env + AMR + structural) not published at China province scale</w:t>
            </w:r>
          </w:p>
        </w:tc>
      </w:tr>
      <w:tr>
        <w:tc>
          <w:tcPr>
            <w:tcW w:type="dxa" w:w="3135"/>
          </w:tcPr>
          <w:p>
            <w:pPr>
              <w:spacing w:before="40" w:after="40"/>
            </w:pPr>
            <w:r>
              <w:rPr>
                <w:sz w:val="18"/>
              </w:rPr>
              <w:t>Environ. Sci. &amp; Technol.</w:t>
            </w:r>
          </w:p>
        </w:tc>
        <w:tc>
          <w:tcPr>
            <w:tcW w:type="dxa" w:w="3135"/>
          </w:tcPr>
          <w:p>
            <w:pPr>
              <w:spacing w:before="40" w:after="40"/>
            </w:pPr>
            <w:r>
              <w:rPr>
                <w:sz w:val="18"/>
              </w:rPr>
              <w:t>70–80%</w:t>
            </w:r>
          </w:p>
        </w:tc>
        <w:tc>
          <w:tcPr>
            <w:tcW w:type="dxa" w:w="3135"/>
          </w:tcPr>
          <w:p>
            <w:pPr>
              <w:spacing w:before="40" w:after="40"/>
            </w:pPr>
            <w:r>
              <w:rPr>
                <w:sz w:val="18"/>
              </w:rPr>
              <w:t>Near-certain with good statistical methods</w:t>
            </w:r>
          </w:p>
        </w:tc>
      </w:tr>
      <w:tr>
        <w:tc>
          <w:tcPr>
            <w:tcW w:type="dxa" w:w="3135"/>
          </w:tcPr>
          <w:p>
            <w:pPr>
              <w:spacing w:before="40" w:after="40"/>
            </w:pPr>
            <w:r>
              <w:rPr>
                <w:sz w:val="18"/>
              </w:rPr>
              <w:t>Environment International</w:t>
            </w:r>
          </w:p>
        </w:tc>
        <w:tc>
          <w:tcPr>
            <w:tcW w:type="dxa" w:w="3135"/>
          </w:tcPr>
          <w:p>
            <w:pPr>
              <w:spacing w:before="40" w:after="40"/>
            </w:pPr>
            <w:r>
              <w:rPr>
                <w:sz w:val="18"/>
              </w:rPr>
              <w:t>75–85%</w:t>
            </w:r>
          </w:p>
        </w:tc>
        <w:tc>
          <w:tcPr>
            <w:tcW w:type="dxa" w:w="3135"/>
          </w:tcPr>
          <w:p>
            <w:pPr>
              <w:spacing w:before="40" w:after="40"/>
            </w:pPr>
            <w:r>
              <w:rPr>
                <w:sz w:val="18"/>
              </w:rPr>
              <w:t>Very strong fit, high acceptance probability</w:t>
            </w:r>
          </w:p>
        </w:tc>
      </w:tr>
    </w:tbl>
    <w:p/>
    <w:p>
      <w:pPr>
        <w:pStyle w:val="Heading1"/>
      </w:pPr>
      <w:r>
        <w:rPr>
          <w:color w:val="1A4A2A"/>
        </w:rPr>
        <w:t>11. Task List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c>
          <w:tcPr>
            <w:tcW w:type="dxa" w:w="2351"/>
            <w:shd w:val="clear" w:color="auto" w:fill="2C3E50"/>
          </w:tcPr>
          <w:p>
            <w:pPr>
              <w:spacing w:before="40" w:after="40"/>
            </w:pPr>
            <w:r>
              <w:rPr>
                <w:b/>
                <w:sz w:val="18"/>
              </w:rPr>
              <w:t>#</w:t>
            </w:r>
          </w:p>
        </w:tc>
        <w:tc>
          <w:tcPr>
            <w:tcW w:type="dxa" w:w="2351"/>
            <w:shd w:val="clear" w:color="auto" w:fill="2C3E50"/>
          </w:tcPr>
          <w:p>
            <w:pPr>
              <w:spacing w:before="40" w:after="40"/>
            </w:pPr>
            <w:r>
              <w:rPr>
                <w:b/>
                <w:sz w:val="18"/>
              </w:rPr>
              <w:t>Task</w:t>
            </w:r>
          </w:p>
        </w:tc>
        <w:tc>
          <w:tcPr>
            <w:tcW w:type="dxa" w:w="2351"/>
            <w:shd w:val="clear" w:color="auto" w:fill="2C3E50"/>
          </w:tcPr>
          <w:p>
            <w:pPr>
              <w:spacing w:before="40" w:after="40"/>
            </w:pPr>
            <w:r>
              <w:rPr>
                <w:b/>
                <w:sz w:val="18"/>
              </w:rPr>
              <w:t>Description</w:t>
            </w:r>
          </w:p>
        </w:tc>
        <w:tc>
          <w:tcPr>
            <w:tcW w:type="dxa" w:w="2351"/>
            <w:shd w:val="clear" w:color="auto" w:fill="2C3E50"/>
          </w:tcPr>
          <w:p>
            <w:pPr>
              <w:spacing w:before="40" w:after="40"/>
            </w:pPr>
            <w:r>
              <w:rPr>
                <w:b/>
                <w:sz w:val="18"/>
              </w:rPr>
              <w:t>Status</w:t>
            </w:r>
          </w:p>
        </w:tc>
      </w:tr>
      <w:tr>
        <w:tc>
          <w:tcPr>
            <w:tcW w:type="dxa" w:w="2351"/>
          </w:tcPr>
          <w:p>
            <w:pPr>
              <w:spacing w:before="40" w:after="40"/>
            </w:pPr>
            <w:r>
              <w:rPr>
                <w:sz w:val="18"/>
              </w:rPr>
              <w:t>1</w:t>
            </w:r>
          </w:p>
        </w:tc>
        <w:tc>
          <w:tcPr>
            <w:tcW w:type="dxa" w:w="2351"/>
          </w:tcPr>
          <w:p>
            <w:pPr>
              <w:spacing w:before="40" w:after="40"/>
            </w:pPr>
            <w:r>
              <w:rPr>
                <w:sz w:val="18"/>
              </w:rPr>
              <w:t>Update env input path</w:t>
            </w:r>
          </w:p>
        </w:tc>
        <w:tc>
          <w:tcPr>
            <w:tcW w:type="dxa" w:w="2351"/>
          </w:tcPr>
          <w:p>
            <w:pPr>
              <w:spacing w:before="40" w:after="40"/>
            </w:pPr>
            <w:r>
              <w:rPr>
                <w:sz w:val="18"/>
              </w:rPr>
              <w:t>Edit build_env_abx_per_province.R to use environmental_cleaned_2_with_27052026_gaps_addition.csv</w:t>
            </w:r>
          </w:p>
        </w:tc>
        <w:tc>
          <w:tcPr>
            <w:tcW w:type="dxa" w:w="2351"/>
          </w:tcPr>
          <w:p>
            <w:pPr>
              <w:spacing w:before="40" w:after="40"/>
            </w:pPr>
            <w:r>
              <w:rPr>
                <w:sz w:val="18"/>
              </w:rPr>
              <w:t>Pending</w:t>
            </w:r>
          </w:p>
        </w:tc>
      </w:tr>
      <w:tr>
        <w:tc>
          <w:tcPr>
            <w:tcW w:type="dxa" w:w="2351"/>
          </w:tcPr>
          <w:p>
            <w:pPr>
              <w:spacing w:before="40" w:after="40"/>
            </w:pPr>
            <w:r>
              <w:rPr>
                <w:sz w:val="18"/>
              </w:rPr>
              <w:t>2</w:t>
            </w:r>
          </w:p>
        </w:tc>
        <w:tc>
          <w:tcPr>
            <w:tcW w:type="dxa" w:w="2351"/>
          </w:tcPr>
          <w:p>
            <w:pPr>
              <w:spacing w:before="40" w:after="40"/>
            </w:pPr>
            <w:r>
              <w:rPr>
                <w:sz w:val="18"/>
              </w:rPr>
              <w:t>Re-run matched traces</w:t>
            </w:r>
          </w:p>
        </w:tc>
        <w:tc>
          <w:tcPr>
            <w:tcW w:type="dxa" w:w="2351"/>
          </w:tcPr>
          <w:p>
            <w:pPr>
              <w:spacing w:before="40" w:after="40"/>
            </w:pPr>
            <w:r>
              <w:rPr>
                <w:sz w:val="18"/>
              </w:rPr>
              <w:t>run_matched_traces.R + run_causal_linkages.R with updated env data; document trace count change</w:t>
            </w:r>
          </w:p>
        </w:tc>
        <w:tc>
          <w:tcPr>
            <w:tcW w:type="dxa" w:w="2351"/>
          </w:tcPr>
          <w:p>
            <w:pPr>
              <w:spacing w:before="40" w:after="40"/>
            </w:pPr>
            <w:r>
              <w:rPr>
                <w:sz w:val="18"/>
              </w:rPr>
              <w:t>Pending</w:t>
            </w:r>
          </w:p>
        </w:tc>
      </w:tr>
      <w:tr>
        <w:tc>
          <w:tcPr>
            <w:tcW w:type="dxa" w:w="2351"/>
          </w:tcPr>
          <w:p>
            <w:pPr>
              <w:spacing w:before="40" w:after="40"/>
            </w:pPr>
            <w:r>
              <w:rPr>
                <w:sz w:val="18"/>
              </w:rPr>
              <w:t>3</w:t>
            </w:r>
          </w:p>
        </w:tc>
        <w:tc>
          <w:tcPr>
            <w:tcW w:type="dxa" w:w="2351"/>
          </w:tcPr>
          <w:p>
            <w:pPr>
              <w:spacing w:before="40" w:after="40"/>
            </w:pPr>
            <w:r>
              <w:rPr>
                <w:sz w:val="18"/>
              </w:rPr>
              <w:t>Build VetABX proxy</w:t>
            </w:r>
          </w:p>
        </w:tc>
        <w:tc>
          <w:tcPr>
            <w:tcW w:type="dxa" w:w="2351"/>
          </w:tcPr>
          <w:p>
            <w:pPr>
              <w:spacing w:before="40" w:after="40"/>
            </w:pPr>
            <w:r>
              <w:rPr>
                <w:sz w:val="18"/>
              </w:rPr>
              <w:t>Write build_veterinary_abx_proxy.R with Van Boeckel 2014 / Xiong 2021 coefficients × 12-13 and 12-15 panels</w:t>
            </w:r>
          </w:p>
        </w:tc>
        <w:tc>
          <w:tcPr>
            <w:tcW w:type="dxa" w:w="2351"/>
          </w:tcPr>
          <w:p>
            <w:pPr>
              <w:spacing w:before="40" w:after="40"/>
            </w:pPr>
            <w:r>
              <w:rPr>
                <w:sz w:val="18"/>
              </w:rPr>
              <w:t>Pending</w:t>
            </w:r>
          </w:p>
        </w:tc>
      </w:tr>
      <w:tr>
        <w:tc>
          <w:tcPr>
            <w:tcW w:type="dxa" w:w="2351"/>
          </w:tcPr>
          <w:p>
            <w:pPr>
              <w:spacing w:before="40" w:after="40"/>
            </w:pPr>
            <w:r>
              <w:rPr>
                <w:sz w:val="18"/>
              </w:rPr>
              <w:t>4</w:t>
            </w:r>
          </w:p>
        </w:tc>
        <w:tc>
          <w:tcPr>
            <w:tcW w:type="dxa" w:w="2351"/>
          </w:tcPr>
          <w:p>
            <w:pPr>
              <w:spacing w:before="40" w:after="40"/>
            </w:pPr>
            <w:r>
              <w:rPr>
                <w:sz w:val="18"/>
              </w:rPr>
              <w:t>Panel FE regression</w:t>
            </w:r>
          </w:p>
        </w:tc>
        <w:tc>
          <w:tcPr>
            <w:tcW w:type="dxa" w:w="2351"/>
          </w:tcPr>
          <w:p>
            <w:pPr>
              <w:spacing w:before="40" w:after="40"/>
            </w:pPr>
            <w:r>
              <w:rPr>
                <w:sz w:val="18"/>
              </w:rPr>
              <w:t>Write run_panel_fe_regression.R using plm package; output Fig 2 coefficient plot</w:t>
            </w:r>
          </w:p>
        </w:tc>
        <w:tc>
          <w:tcPr>
            <w:tcW w:type="dxa" w:w="2351"/>
          </w:tcPr>
          <w:p>
            <w:pPr>
              <w:spacing w:before="40" w:after="40"/>
            </w:pPr>
            <w:r>
              <w:rPr>
                <w:sz w:val="18"/>
              </w:rPr>
              <w:t>Pending</w:t>
            </w:r>
          </w:p>
        </w:tc>
      </w:tr>
      <w:tr>
        <w:tc>
          <w:tcPr>
            <w:tcW w:type="dxa" w:w="2351"/>
          </w:tcPr>
          <w:p>
            <w:pPr>
              <w:spacing w:before="40" w:after="40"/>
            </w:pPr>
            <w:r>
              <w:rPr>
                <w:sz w:val="18"/>
              </w:rPr>
              <w:t>5</w:t>
            </w:r>
          </w:p>
        </w:tc>
        <w:tc>
          <w:tcPr>
            <w:tcW w:type="dxa" w:w="2351"/>
          </w:tcPr>
          <w:p>
            <w:pPr>
              <w:spacing w:before="40" w:after="40"/>
            </w:pPr>
            <w:r>
              <w:rPr>
                <w:sz w:val="18"/>
              </w:rPr>
              <w:t>Unlock event study</w:t>
            </w:r>
          </w:p>
        </w:tc>
        <w:tc>
          <w:tcPr>
            <w:tcW w:type="dxa" w:w="2351"/>
          </w:tcPr>
          <w:p>
            <w:pPr>
              <w:spacing w:before="40" w:after="40"/>
            </w:pPr>
            <w:r>
              <w:rPr>
                <w:sz w:val="18"/>
              </w:rPr>
              <w:t>Modify run_causal_event_study_amr.R: lower min_years threshold; implement Callaway-Sant'Anna DiD; Fig 4</w:t>
            </w:r>
          </w:p>
        </w:tc>
        <w:tc>
          <w:tcPr>
            <w:tcW w:type="dxa" w:w="2351"/>
          </w:tcPr>
          <w:p>
            <w:pPr>
              <w:spacing w:before="40" w:after="40"/>
            </w:pPr>
            <w:r>
              <w:rPr>
                <w:sz w:val="18"/>
              </w:rPr>
              <w:t>Pending</w:t>
            </w:r>
          </w:p>
        </w:tc>
      </w:tr>
      <w:tr>
        <w:tc>
          <w:tcPr>
            <w:tcW w:type="dxa" w:w="2351"/>
          </w:tcPr>
          <w:p>
            <w:pPr>
              <w:spacing w:before="40" w:after="40"/>
            </w:pPr>
            <w:r>
              <w:rPr>
                <w:sz w:val="18"/>
              </w:rPr>
              <w:t>6</w:t>
            </w:r>
          </w:p>
        </w:tc>
        <w:tc>
          <w:tcPr>
            <w:tcW w:type="dxa" w:w="2351"/>
          </w:tcPr>
          <w:p>
            <w:pPr>
              <w:spacing w:before="40" w:after="40"/>
            </w:pPr>
            <w:r>
              <w:rPr>
                <w:sz w:val="18"/>
              </w:rPr>
              <w:t>Re-run Step 0-1</w:t>
            </w:r>
          </w:p>
        </w:tc>
        <w:tc>
          <w:tcPr>
            <w:tcW w:type="dxa" w:w="2351"/>
          </w:tcPr>
          <w:p>
            <w:pPr>
              <w:spacing w:before="40" w:after="40"/>
            </w:pPr>
            <w:r>
              <w:rPr>
                <w:sz w:val="18"/>
              </w:rPr>
              <w:t>step00_01_core_tables_and_fig1.R with updated env; refresh province coverage and Fig 1</w:t>
            </w:r>
          </w:p>
        </w:tc>
        <w:tc>
          <w:tcPr>
            <w:tcW w:type="dxa" w:w="2351"/>
          </w:tcPr>
          <w:p>
            <w:pPr>
              <w:spacing w:before="40" w:after="40"/>
            </w:pPr>
            <w:r>
              <w:rPr>
                <w:sz w:val="18"/>
              </w:rPr>
              <w:t>Pending</w:t>
            </w:r>
          </w:p>
        </w:tc>
      </w:tr>
      <w:tr>
        <w:tc>
          <w:tcPr>
            <w:tcW w:type="dxa" w:w="2351"/>
          </w:tcPr>
          <w:p>
            <w:pPr>
              <w:spacing w:before="40" w:after="40"/>
            </w:pPr>
            <w:r>
              <w:rPr>
                <w:sz w:val="18"/>
              </w:rPr>
              <w:t>7</w:t>
            </w:r>
          </w:p>
        </w:tc>
        <w:tc>
          <w:tcPr>
            <w:tcW w:type="dxa" w:w="2351"/>
          </w:tcPr>
          <w:p>
            <w:pPr>
              <w:spacing w:before="40" w:after="40"/>
            </w:pPr>
            <w:r>
              <w:rPr>
                <w:sz w:val="18"/>
              </w:rPr>
              <w:t>Sensitivity analyses</w:t>
            </w:r>
          </w:p>
        </w:tc>
        <w:tc>
          <w:tcPr>
            <w:tcW w:type="dxa" w:w="2351"/>
          </w:tcPr>
          <w:p>
            <w:pPr>
              <w:spacing w:before="40" w:after="40"/>
            </w:pPr>
            <w:r>
              <w:rPr>
                <w:sz w:val="18"/>
              </w:rPr>
              <w:t>(a) 2015-2020 env restriction; (b) measurement count vs AMR bias check; (c) 6-province subset validation</w:t>
            </w:r>
          </w:p>
        </w:tc>
        <w:tc>
          <w:tcPr>
            <w:tcW w:type="dxa" w:w="2351"/>
          </w:tcPr>
          <w:p>
            <w:pPr>
              <w:spacing w:before="40" w:after="40"/>
            </w:pPr>
            <w:r>
              <w:rPr>
                <w:sz w:val="18"/>
              </w:rPr>
              <w:t>Pending</w:t>
            </w:r>
          </w:p>
        </w:tc>
      </w:tr>
      <w:tr>
        <w:tc>
          <w:tcPr>
            <w:tcW w:type="dxa" w:w="2351"/>
          </w:tcPr>
          <w:p>
            <w:pPr>
              <w:spacing w:before="40" w:after="40"/>
            </w:pPr>
            <w:r>
              <w:rPr>
                <w:sz w:val="18"/>
              </w:rPr>
              <w:t>8</w:t>
            </w:r>
          </w:p>
        </w:tc>
        <w:tc>
          <w:tcPr>
            <w:tcW w:type="dxa" w:w="2351"/>
          </w:tcPr>
          <w:p>
            <w:pPr>
              <w:spacing w:before="40" w:after="40"/>
            </w:pPr>
            <w:r>
              <w:rPr>
                <w:sz w:val="18"/>
              </w:rPr>
              <w:t>Write methods text</w:t>
            </w:r>
          </w:p>
        </w:tc>
        <w:tc>
          <w:tcPr>
            <w:tcW w:type="dxa" w:w="2351"/>
          </w:tcPr>
          <w:p>
            <w:pPr>
              <w:spacing w:before="40" w:after="40"/>
            </w:pPr>
            <w:r>
              <w:rPr>
                <w:sz w:val="18"/>
              </w:rPr>
              <w:t>Steady-state justification, VetABX supplementary, DiD specification</w:t>
            </w:r>
          </w:p>
        </w:tc>
        <w:tc>
          <w:tcPr>
            <w:tcW w:type="dxa" w:w="2351"/>
          </w:tcPr>
          <w:p>
            <w:pPr>
              <w:spacing w:before="40" w:after="40"/>
            </w:pPr>
            <w:r>
              <w:rPr>
                <w:sz w:val="18"/>
              </w:rPr>
              <w:t>Pending</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