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6"/>
          <w:szCs w:val="36"/>
        </w:rPr>
      </w:pPr>
      <w:bookmarkStart w:colFirst="0" w:colLast="0" w:name="_vj23757592je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Оценка стоимости "TripApp" по доходному подходу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Доходный подход</w:t>
      </w:r>
      <w:r w:rsidDel="00000000" w:rsidR="00000000" w:rsidRPr="00000000">
        <w:rPr>
          <w:rtl w:val="0"/>
        </w:rPr>
        <w:t xml:space="preserve"> - стоимость продукта напрямую зависит от того, сколько денег он сможет принести инвестору в будущем, с учетом риска и времени.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Чистая прибыль (октябрь): ~177 тыс. руб./мес  ~2,12 млн руб./год.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Доля прибыли, создаваемая непосредственно ПО: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Годовая прибыль, относимая к ПО: 1,06 млн руб.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 Высокая ставка капитализации (учёт рисков стартапа): 35%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Расчёт: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Базовая стоимость: 1,06 млн руб. / 0,35 ≈ 3,0 млн руб.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Дополнительная стоимость от налоговой оптимизации (потенциальная экономия 15% на НДФЛ/взносах): ≈ 1,6 млн руб.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Итоговая стоимость: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3,0 млн руб. + 1,6 млн руб. ≈ 4 600 000 (Четыре миллиона шестьсот тысяч) рублей.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</w:t>
      </w:r>
      <w:r w:rsidDel="00000000" w:rsidR="00000000" w:rsidRPr="00000000">
        <w:rPr>
          <w:rtl w:val="0"/>
        </w:rPr>
        <w:t xml:space="preserve">: Доходный подход, учитывающий текущие скромные финансовые результаты и высокие риски, даёт оценку в 4,6 млн руб.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