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6"/>
          <w:szCs w:val="36"/>
        </w:rPr>
      </w:pPr>
      <w:bookmarkStart w:colFirst="0" w:colLast="0" w:name="_xwmezjgf74a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Оценка стоимости "TripApp" по затратному подходу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Затратный подход</w:t>
      </w:r>
      <w:r w:rsidDel="00000000" w:rsidR="00000000" w:rsidRPr="00000000">
        <w:rPr>
          <w:rtl w:val="0"/>
        </w:rPr>
        <w:t xml:space="preserve"> - это метод, который определяет стоимость как сумму всех затрат, необходимых для создания или воспроизводства аналога ПО с учетом износа.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125" w:tblpY="0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4455"/>
        <w:gridCol w:w="2460"/>
        <w:tblGridChange w:id="0">
          <w:tblGrid>
            <w:gridCol w:w="4140"/>
            <w:gridCol w:w="4455"/>
            <w:gridCol w:w="24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Статья затрат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Расчёт / Обоснование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(руб.)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Затраты на оплату труда разработчиков (основные)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ФОТ технической команды (7 чел + ТехЛид) = 922 200 руб./мес. При продолжительности разработки 10 месяцев (оценка из сравнительного подхода)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9 222 000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Затраты на оплату труда менеджеров и администрации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ФОТ управленческой команды (ген.дир, PM и др.) = 474 150 руб./мес. За 10 месяцев разработки (управление проектом).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4 741 500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Отчисления с ФОТ (страховые взносы)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Уплачены за сентябрь: 418 905 руб. Это ~31.2% от ФОТ всех сотрудников (1 396 350 руб). Применяем эту ставку к общим трудозатратам (п.1+п.2). (9 222 000 + 4 741 500) * 0.312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4 356 708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Затраты на инфраструктуру и ПО для разработки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Лицензии ПО (150 000 руб.)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Хостинг для разработки/тестирования (оценка 50% от продакшн-стоимости за 10 мес: (85 000+80 000)/2 *10)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Итого: 150 000 + 825 000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975 000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Накладные расходы (аренда, коммуналка)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Аренда коворкинга: 120 000 руб./мес * 10 мес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1 200 000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Прочие прямые затраты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Проценты по кредиту на разработку (4 млн руб. под 13.6%). За 10 мес: (4 000 000 * 0.136) / 12 *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453 333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Прямые затраты на создание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строк 1- 6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20 948 541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Итоговая стоимость</w:t>
      </w:r>
      <w:r w:rsidDel="00000000" w:rsidR="00000000" w:rsidRPr="00000000">
        <w:rPr>
          <w:rtl w:val="0"/>
        </w:rPr>
        <w:t xml:space="preserve">: 20 948 541 рублей.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  <w:t xml:space="preserve">: Затратный подход показывает стоимость 21 млн руб., подтверждая высокие первоначальные вложения.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