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Сравнительный подход</w:t>
      </w:r>
      <w:r w:rsidDel="00000000" w:rsidR="00000000" w:rsidRPr="00000000">
        <w:rPr>
          <w:rtl w:val="0"/>
        </w:rPr>
        <w:t xml:space="preserve">: ~7 млн руб. Рыночная стоимость, основанная на цене создания аналогичных продуктов.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Доходный подход</w:t>
      </w:r>
      <w:r w:rsidDel="00000000" w:rsidR="00000000" w:rsidRPr="00000000">
        <w:rPr>
          <w:rtl w:val="0"/>
        </w:rPr>
        <w:t xml:space="preserve">: ~4.6 млн руб. Текущая ценность будущих доходов от ПО с учётом высоких рисков стартапа.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Затратный подход</w:t>
      </w:r>
      <w:r w:rsidDel="00000000" w:rsidR="00000000" w:rsidRPr="00000000">
        <w:rPr>
          <w:rtl w:val="0"/>
        </w:rPr>
        <w:t xml:space="preserve">: ~25 млн руб. Полная стоимость воспроизводства актива, включающая все фактические затраты на разработку.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