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57"/>
        </w:rPr>
        <w:t>Mortalidade por Causas Evitáveis no Brasil</w:t>
      </w:r>
    </w:p>
    <w:p>
      <w:pPr>
        <w:jc w:val="center"/>
      </w:pPr>
      <w:r>
        <w:rPr>
          <w:b w:val="0"/>
          <w:i/>
          <w:sz w:val="26"/>
        </w:rPr>
        <w:t>Desigualdade socioeconômica, padrões municipais e perfis de causa (2022–2024)</w:t>
      </w:r>
    </w:p>
    <w:p>
      <w:pPr>
        <w:jc w:val="center"/>
      </w:pPr>
      <w:r>
        <w:rPr>
          <w:b w:val="0"/>
          <w:i w:val="0"/>
        </w:rPr>
        <w:t>Projeto Data Major — Tópicos em Banco de Dados — IESB</w:t>
      </w:r>
    </w:p>
    <w:p>
      <w:pPr>
        <w:jc w:val="center"/>
      </w:pPr>
      <w:r>
        <w:rPr>
          <w:b w:val="0"/>
          <w:i w:val="0"/>
        </w:rPr>
        <w:t>Maio de 2026</w:t>
      </w:r>
    </w:p>
    <w:p>
      <w:pPr>
        <w:pStyle w:val="Heading1"/>
      </w:pPr>
      <w:r>
        <w:rPr>
          <w:color w:val="1F3B57"/>
        </w:rPr>
        <w:t>Resumo</w:t>
      </w:r>
    </w:p>
    <w:p>
      <w:r>
        <w:rPr>
          <w:b w:val="0"/>
          <w:i/>
        </w:rPr>
        <w:t>Este trabalho investiga a relação entre a mortalidade por causas evitáveis e as condições socioeconômicas dos municípios brasileiros. A partir de um pipeline de dados completo (ETL), integramos os microdados de óbitos do SIM/DATASUS (2022–2024) a indicadores de desenvolvimento humano, renda, desigualdade e investimento em saúde. Aplicamos a Lista Brasileira de Causas Evitáveis (LBCE) para identificar aproximadamente 1,37 milhão de óbitos evitáveis na faixa de 5 a 74 anos. Sobre esse conjunto realizamos três análises complementares: (i) regressão multivariada (OLS, Random Forest e XGBoost) para medir a associação entre variáveis socioeconômicas e a taxa de mortalidade evitável; (ii) clusterização (K-Means) dos municípios em quatro perfis socioeconômicos; e (iii) mineração das causas básicas (CID-10) para caracterizar de que morre cada perfil. Para garantir comparabilidade entre municípios com estruturas etárias distintas, calculamos a taxa de mortalidade padronizada por idade (padronização direta com a população do Censo 2022), adotada como desfecho principal. Os resultados confirmam associação estatisticamente significativa entre desigualdade (Gini) e mortalidade evitável, e revelam uma assinatura socioeconômica nas causas: municípios mais pobres concentram doenças infecciosas e negligenciadas, enquanto os mais desenvolvidos concentram doenças crônicas. A padronização por idade corrige um paradoxo das taxas brutas (Sul/Sudeste apareciam com mortalidade maior por terem população mais envelhecida) e alinha os sinais da regressão à hipótese socioeconômica.</w:t>
      </w:r>
    </w:p>
    <w:p>
      <w:pPr>
        <w:pStyle w:val="Heading1"/>
      </w:pPr>
      <w:r>
        <w:rPr>
          <w:color w:val="1F3B57"/>
        </w:rPr>
        <w:t>1. Introdução</w:t>
      </w:r>
    </w:p>
    <w:p>
      <w:r>
        <w:rPr>
          <w:b/>
          <w:i w:val="0"/>
        </w:rPr>
        <w:t xml:space="preserve">Problema. </w:t>
      </w:r>
      <w:r>
        <w:rPr>
          <w:b w:val="0"/>
          <w:i w:val="0"/>
        </w:rPr>
        <w:t>Causas evitáveis de morte são aquelas que poderiam ser prevenidas ou tratadas por ações do Sistema Único de Saúde (SUS): imunização, diagnóstico precoce, atenção básica e políticas de saúde pública. A persistência de altas taxas dessas mortes no Brasil é considerada um indicador de iniquidade — pessoas morrem de causas que o sistema de saúde, em tese, sabe prevenir.</w:t>
      </w:r>
    </w:p>
    <w:p>
      <w:r>
        <w:rPr>
          <w:b/>
          <w:i w:val="0"/>
        </w:rPr>
        <w:t xml:space="preserve">Hipótese. </w:t>
      </w:r>
      <w:r>
        <w:rPr>
          <w:b w:val="0"/>
          <w:i w:val="0"/>
        </w:rPr>
        <w:t>A taxa de mortalidade por causas evitáveis de um município está associada ao seu nível de desenvolvimento socioeconômico (renda, IDH-M, desigualdade, saneamento, escolaridade) e ao esforço público em saúde.</w:t>
      </w:r>
    </w:p>
    <w:p>
      <w:r>
        <w:rPr>
          <w:b/>
          <w:i w:val="0"/>
        </w:rPr>
        <w:t xml:space="preserve">Objetivo. </w:t>
      </w:r>
      <w:r>
        <w:rPr>
          <w:b w:val="0"/>
          <w:i w:val="0"/>
        </w:rPr>
        <w:t>Construir um pipeline de dados reprodutível e aplicar técnicas de modelagem e mineração para: (1) quantificar a associação entre condições socioeconômicas e a mortalidade evitável; (2) identificar perfis típicos de município; e (3) caracterizar o padrão de causas de cada perfil.</w:t>
      </w:r>
    </w:p>
    <w:p>
      <w:pPr>
        <w:pStyle w:val="Heading1"/>
      </w:pPr>
      <w:r>
        <w:rPr>
          <w:color w:val="1F3B57"/>
        </w:rPr>
        <w:t>2. Fontes de Dados</w:t>
      </w:r>
    </w:p>
    <w:p>
      <w:r>
        <w:rPr>
          <w:b w:val="0"/>
          <w:i w:val="0"/>
        </w:rPr>
        <w:t>As cinco fontes integradas, todas públicas: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</w:rPr>
              <w:t>Fonte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Conteúdo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Acesso</w:t>
            </w:r>
          </w:p>
        </w:tc>
      </w:tr>
      <w:tr>
        <w:tc>
          <w:tcPr>
            <w:tcW w:type="dxa" w:w="2304"/>
          </w:tcPr>
          <w:p>
            <w:r>
              <w:t>SIM / DATASUS</w:t>
            </w:r>
          </w:p>
        </w:tc>
        <w:tc>
          <w:tcPr>
            <w:tcW w:type="dxa" w:w="4896"/>
          </w:tcPr>
          <w:p>
            <w:r>
              <w:t>Microdados de óbitos (CID-10), por UF e ano</w:t>
            </w:r>
          </w:p>
        </w:tc>
        <w:tc>
          <w:tcPr>
            <w:tcW w:type="dxa" w:w="2880"/>
          </w:tcPr>
          <w:p>
            <w:r>
              <w:t>FTP (.dbc)</w:t>
            </w:r>
          </w:p>
        </w:tc>
      </w:tr>
      <w:tr>
        <w:tc>
          <w:tcPr>
            <w:tcW w:type="dxa" w:w="2304"/>
          </w:tcPr>
          <w:p>
            <w:r>
              <w:t>IBGE / Sidra</w:t>
            </w:r>
          </w:p>
        </w:tc>
        <w:tc>
          <w:tcPr>
            <w:tcW w:type="dxa" w:w="4896"/>
          </w:tcPr>
          <w:p>
            <w:r>
              <w:t>População municipal (Censo 2022; estimativas)</w:t>
            </w:r>
          </w:p>
        </w:tc>
        <w:tc>
          <w:tcPr>
            <w:tcW w:type="dxa" w:w="2880"/>
          </w:tcPr>
          <w:p>
            <w:r>
              <w:t>API (tab. 4714 e 6579)</w:t>
            </w:r>
          </w:p>
        </w:tc>
      </w:tr>
      <w:tr>
        <w:tc>
          <w:tcPr>
            <w:tcW w:type="dxa" w:w="2304"/>
          </w:tcPr>
          <w:p>
            <w:r>
              <w:t>IBGE / Sidra</w:t>
            </w:r>
          </w:p>
        </w:tc>
        <w:tc>
          <w:tcPr>
            <w:tcW w:type="dxa" w:w="4896"/>
          </w:tcPr>
          <w:p>
            <w:r>
              <w:t>PIB municipal</w:t>
            </w:r>
          </w:p>
        </w:tc>
        <w:tc>
          <w:tcPr>
            <w:tcW w:type="dxa" w:w="2880"/>
          </w:tcPr>
          <w:p>
            <w:r>
              <w:t>API (tab. 5938)</w:t>
            </w:r>
          </w:p>
        </w:tc>
      </w:tr>
      <w:tr>
        <w:tc>
          <w:tcPr>
            <w:tcW w:type="dxa" w:w="2304"/>
          </w:tcPr>
          <w:p>
            <w:r>
              <w:t>SICONFI / Tesouro</w:t>
            </w:r>
          </w:p>
        </w:tc>
        <w:tc>
          <w:tcPr>
            <w:tcW w:type="dxa" w:w="4896"/>
          </w:tcPr>
          <w:p>
            <w:r>
              <w:t>Despesa municipal em saúde (função 10)</w:t>
            </w:r>
          </w:p>
        </w:tc>
        <w:tc>
          <w:tcPr>
            <w:tcW w:type="dxa" w:w="2880"/>
          </w:tcPr>
          <w:p>
            <w:r>
              <w:t>API DCA-Anexo I-E</w:t>
            </w:r>
          </w:p>
        </w:tc>
      </w:tr>
      <w:tr>
        <w:tc>
          <w:tcPr>
            <w:tcW w:type="dxa" w:w="2304"/>
          </w:tcPr>
          <w:p>
            <w:r>
              <w:t>IPEA / Atlas DH</w:t>
            </w:r>
          </w:p>
        </w:tc>
        <w:tc>
          <w:tcPr>
            <w:tcW w:type="dxa" w:w="4896"/>
          </w:tcPr>
          <w:p>
            <w:r>
              <w:t>IDH-M, Gini, renda, pobreza, saneamento (Censo 2010)</w:t>
            </w:r>
          </w:p>
        </w:tc>
        <w:tc>
          <w:tcPr>
            <w:tcW w:type="dxa" w:w="2880"/>
          </w:tcPr>
          <w:p>
            <w:r>
              <w:t>API (séries ADH_*)</w:t>
            </w:r>
          </w:p>
        </w:tc>
      </w:tr>
      <w:tr>
        <w:tc>
          <w:tcPr>
            <w:tcW w:type="dxa" w:w="2304"/>
          </w:tcPr>
          <w:p>
            <w:r>
              <w:t>DATASUS (tabelas)</w:t>
            </w:r>
          </w:p>
        </w:tc>
        <w:tc>
          <w:tcPr>
            <w:tcW w:type="dxa" w:w="4896"/>
          </w:tcPr>
          <w:p>
            <w:r>
              <w:t>Descrições oficiais dos códigos CID-10</w:t>
            </w:r>
          </w:p>
        </w:tc>
        <w:tc>
          <w:tcPr>
            <w:tcW w:type="dxa" w:w="2880"/>
          </w:tcPr>
          <w:p>
            <w:r>
              <w:t>FTP (CID10.DBF)</w:t>
            </w:r>
          </w:p>
        </w:tc>
      </w:tr>
    </w:tbl>
    <w:p>
      <w:r>
        <w:rPr>
          <w:b/>
          <w:i w:val="0"/>
        </w:rPr>
        <w:t>Tratamento de lacunas temporais.</w:t>
      </w:r>
    </w:p>
    <w:p>
      <w:r>
        <w:rPr>
          <w:b w:val="0"/>
          <w:i w:val="0"/>
        </w:rPr>
        <w:t>O painel cobre 2022, 2023 e 2024, mas nem toda fonte tem cobertura completa. Adotamos substituições explícitas, registradas em uma coluna ANO_FONTE para auditoria:</w:t>
      </w:r>
    </w:p>
    <w:p>
      <w:pPr>
        <w:pStyle w:val="ListBullet"/>
      </w:pPr>
      <w:r>
        <w:rPr>
          <w:b/>
          <w:i w:val="0"/>
        </w:rPr>
        <w:t xml:space="preserve">População 2023: </w:t>
      </w:r>
      <w:r>
        <w:rPr>
          <w:b w:val="0"/>
          <w:i w:val="0"/>
        </w:rPr>
        <w:t>o IBGE não publicou estimativa; usamos o Censo 2022 como proxy.</w:t>
      </w:r>
    </w:p>
    <w:p>
      <w:pPr>
        <w:pStyle w:val="ListBullet"/>
      </w:pPr>
      <w:r>
        <w:rPr>
          <w:b/>
          <w:i w:val="0"/>
        </w:rPr>
        <w:t xml:space="preserve">PIB 2024: </w:t>
      </w:r>
      <w:r>
        <w:rPr>
          <w:b w:val="0"/>
          <w:i w:val="0"/>
        </w:rPr>
        <w:t>indisponível por defasagem contábil (~2 anos); usamos o PIB de 2023.</w:t>
      </w:r>
    </w:p>
    <w:p>
      <w:pPr>
        <w:pStyle w:val="ListBullet"/>
      </w:pPr>
      <w:r>
        <w:rPr>
          <w:b/>
          <w:i w:val="0"/>
        </w:rPr>
        <w:t xml:space="preserve">Atlas DH: </w:t>
      </w:r>
      <w:r>
        <w:rPr>
          <w:b w:val="0"/>
          <w:i w:val="0"/>
        </w:rPr>
        <w:t>calculado apenas com base no Censo 2010; é tratado como invariante no tempo (repetido nos três anos).</w:t>
      </w:r>
    </w:p>
    <w:p>
      <w:pPr>
        <w:pStyle w:val="Heading1"/>
      </w:pPr>
      <w:r>
        <w:rPr>
          <w:color w:val="1F3B57"/>
        </w:rPr>
        <w:t>3. Metodologia</w:t>
      </w:r>
    </w:p>
    <w:p>
      <w:pPr>
        <w:pStyle w:val="Heading2"/>
      </w:pPr>
      <w:r>
        <w:rPr>
          <w:color w:val="1F3B57"/>
        </w:rPr>
        <w:t>3.1. Classificação das causas evitáveis (LBCE)</w:t>
      </w:r>
    </w:p>
    <w:p>
      <w:r>
        <w:rPr>
          <w:b w:val="0"/>
          <w:i w:val="0"/>
        </w:rPr>
        <w:t>Utilizamos a Lista Brasileira de Causas de Mortes Evitáveis de 5 a 74 anos (Malta et al., 2007; atualização 2010), que organiza códigos CID-10 segundo o tipo de intervenção do SUS capaz de evitar a morte. A lista oficial possui cinco grupos; neste trabalho utilizamos quatro: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6624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3456"/>
          </w:tcPr>
          <w:p>
            <w:r>
              <w:t>imunoprevencao</w:t>
            </w:r>
          </w:p>
        </w:tc>
        <w:tc>
          <w:tcPr>
            <w:tcW w:type="dxa" w:w="6624"/>
          </w:tcPr>
          <w:p>
            <w:r>
              <w:t>Reduzíveis por vacinação</w:t>
            </w:r>
          </w:p>
        </w:tc>
      </w:tr>
      <w:tr>
        <w:tc>
          <w:tcPr>
            <w:tcW w:type="dxa" w:w="3456"/>
          </w:tcPr>
          <w:p>
            <w:r>
              <w:t>doencas_infecciosas</w:t>
            </w:r>
          </w:p>
        </w:tc>
        <w:tc>
          <w:tcPr>
            <w:tcW w:type="dxa" w:w="6624"/>
          </w:tcPr>
          <w:p>
            <w:r>
              <w:t>Tuberculose, HIV, hepatites, infecções respiratórias, doenças tropicais</w:t>
            </w:r>
          </w:p>
        </w:tc>
      </w:tr>
      <w:tr>
        <w:tc>
          <w:tcPr>
            <w:tcW w:type="dxa" w:w="3456"/>
          </w:tcPr>
          <w:p>
            <w:r>
              <w:t>doencas_nao_transmissiveis</w:t>
            </w:r>
          </w:p>
        </w:tc>
        <w:tc>
          <w:tcPr>
            <w:tcW w:type="dxa" w:w="6624"/>
          </w:tcPr>
          <w:p>
            <w:r>
              <w:t>Neoplasias, doenças cardiovasculares, diabetes, DPOC</w:t>
            </w:r>
          </w:p>
        </w:tc>
      </w:tr>
      <w:tr>
        <w:tc>
          <w:tcPr>
            <w:tcW w:type="dxa" w:w="3456"/>
          </w:tcPr>
          <w:p>
            <w:r>
              <w:t>morte_materna</w:t>
            </w:r>
          </w:p>
        </w:tc>
        <w:tc>
          <w:tcPr>
            <w:tcW w:type="dxa" w:w="6624"/>
          </w:tcPr>
          <w:p>
            <w:r>
              <w:t>Gravidez, parto e puerpério</w:t>
            </w:r>
          </w:p>
        </w:tc>
      </w:tr>
    </w:tbl>
    <w:p>
      <w:r>
        <w:rPr>
          <w:b/>
          <w:i w:val="0"/>
        </w:rPr>
        <w:t xml:space="preserve">Exclusão das causas externas. </w:t>
      </w:r>
      <w:r>
        <w:rPr>
          <w:b w:val="0"/>
          <w:i w:val="0"/>
        </w:rPr>
        <w:t>O quinto grupo da lista oficial — causas externas (acidentes, quedas, agressões, suicídios) — foi deliberadamente excluído. As variáveis socioeconômicas disponíveis explicam mal essa mortalidade: acidentes de trânsito, homicídios e quedas respondem a fatores como segurança pública, infraestrutura viária e violência interpessoal, ausentes do nosso conjunto de features. Incluí-las introduziria ruído estrutural sem ganho explicativo. O escopo final é o das causas evitáveis sensíveis ao SUS e ao desenvolvimento socioeconômico.</w:t>
      </w:r>
    </w:p>
    <w:p>
      <w:pPr>
        <w:pStyle w:val="Heading2"/>
      </w:pPr>
      <w:r>
        <w:rPr>
          <w:color w:val="1F3B57"/>
        </w:rPr>
        <w:t>3.2. Pipeline de dados</w:t>
      </w:r>
    </w:p>
    <w:p>
      <w:r>
        <w:rPr>
          <w:b w:val="0"/>
          <w:i w:val="0"/>
        </w:rPr>
        <w:t>O projeto é organizado em notebooks sequenciais, do ETL à mineração. Cada etapa é idempotente e persiste seus resultados em disco.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</w:rPr>
              <w:t>Notebook</w:t>
            </w:r>
          </w:p>
        </w:tc>
        <w:tc>
          <w:tcPr>
            <w:tcW w:type="dxa" w:w="6336"/>
          </w:tcPr>
          <w:p>
            <w:r/>
            <w:r>
              <w:rPr>
                <w:b/>
              </w:rPr>
              <w:t>Função</w:t>
            </w:r>
          </w:p>
        </w:tc>
      </w:tr>
      <w:tr>
        <w:tc>
          <w:tcPr>
            <w:tcW w:type="dxa" w:w="3744"/>
          </w:tcPr>
          <w:p>
            <w:r>
              <w:t>01_extracao</w:t>
            </w:r>
          </w:p>
        </w:tc>
        <w:tc>
          <w:tcPr>
            <w:tcW w:type="dxa" w:w="6336"/>
          </w:tcPr>
          <w:p>
            <w:r>
              <w:t>Download e cache das cinco fontes (com fallbacks de ano).</w:t>
            </w:r>
          </w:p>
        </w:tc>
      </w:tr>
      <w:tr>
        <w:tc>
          <w:tcPr>
            <w:tcW w:type="dxa" w:w="3744"/>
          </w:tcPr>
          <w:p>
            <w:r>
              <w:t>02_transformacao</w:t>
            </w:r>
          </w:p>
        </w:tc>
        <w:tc>
          <w:tcPr>
            <w:tcW w:type="dxa" w:w="6336"/>
          </w:tcPr>
          <w:p>
            <w:r>
              <w:t>Aplicação da LBCE, agregação e construção da feature matrix (município × ano).</w:t>
            </w:r>
          </w:p>
        </w:tc>
      </w:tr>
      <w:tr>
        <w:tc>
          <w:tcPr>
            <w:tcW w:type="dxa" w:w="3744"/>
          </w:tcPr>
          <w:p>
            <w:r>
              <w:t>02b_transformacao_microdados</w:t>
            </w:r>
          </w:p>
        </w:tc>
        <w:tc>
          <w:tcPr>
            <w:tcW w:type="dxa" w:w="6336"/>
          </w:tcPr>
          <w:p>
            <w:r>
              <w:t>Dataset individualizado (1 óbito por linha) com estatística descritiva.</w:t>
            </w:r>
          </w:p>
        </w:tc>
      </w:tr>
      <w:tr>
        <w:tc>
          <w:tcPr>
            <w:tcW w:type="dxa" w:w="3744"/>
          </w:tcPr>
          <w:p>
            <w:r>
              <w:t>03_regressao</w:t>
            </w:r>
          </w:p>
        </w:tc>
        <w:tc>
          <w:tcPr>
            <w:tcW w:type="dxa" w:w="6336"/>
          </w:tcPr>
          <w:p>
            <w:r>
              <w:t>Regressão multivariada em painel (OLS, RF, XGBoost).</w:t>
            </w:r>
          </w:p>
        </w:tc>
      </w:tr>
      <w:tr>
        <w:tc>
          <w:tcPr>
            <w:tcW w:type="dxa" w:w="3744"/>
          </w:tcPr>
          <w:p>
            <w:r>
              <w:t>04_clusterizacao</w:t>
            </w:r>
          </w:p>
        </w:tc>
        <w:tc>
          <w:tcPr>
            <w:tcW w:type="dxa" w:w="6336"/>
          </w:tcPr>
          <w:p>
            <w:r>
              <w:t>Clusterização K-Means dos municípios.</w:t>
            </w:r>
          </w:p>
        </w:tc>
      </w:tr>
      <w:tr>
        <w:tc>
          <w:tcPr>
            <w:tcW w:type="dxa" w:w="3744"/>
          </w:tcPr>
          <w:p>
            <w:r>
              <w:t>05_mineracao</w:t>
            </w:r>
          </w:p>
        </w:tc>
        <w:tc>
          <w:tcPr>
            <w:tcW w:type="dxa" w:w="6336"/>
          </w:tcPr>
          <w:p>
            <w:r>
              <w:t>Caracterização das causas CID-10 por cluster.</w:t>
            </w:r>
          </w:p>
        </w:tc>
      </w:tr>
      <w:tr>
        <w:tc>
          <w:tcPr>
            <w:tcW w:type="dxa" w:w="3744"/>
          </w:tcPr>
          <w:p>
            <w:r>
              <w:t>06_taxa_padronizada_idade</w:t>
            </w:r>
          </w:p>
        </w:tc>
        <w:tc>
          <w:tcPr>
            <w:tcW w:type="dxa" w:w="6336"/>
          </w:tcPr>
          <w:p>
            <w:r>
              <w:t>Padronização etária da taxa e comparação com a bruta.</w:t>
            </w:r>
          </w:p>
        </w:tc>
      </w:tr>
    </w:tbl>
    <w:p>
      <w:r>
        <w:rPr>
          <w:b/>
          <w:i w:val="0"/>
        </w:rPr>
        <w:t xml:space="preserve">Unidade de análise e join. </w:t>
      </w:r>
      <w:r>
        <w:rPr>
          <w:b w:val="0"/>
          <w:i w:val="0"/>
        </w:rPr>
        <w:t>O SIM identifica o município de residência por um código de 6 dígitos (CODMUNRES); o IBGE usa 7 dígitos (com dígito verificador). A junção entre fontes é feita pelos 6 primeiros dígitos. A feature matrix final tem uma linha por município e ano (16.711 linhas; 5.570 municípios × 3 anos).</w:t>
      </w:r>
    </w:p>
    <w:p>
      <w:r>
        <w:rPr>
          <w:b/>
          <w:i w:val="0"/>
        </w:rPr>
        <w:t xml:space="preserve">Variável-resposta: </w:t>
      </w:r>
      <w:r>
        <w:rPr>
          <w:b w:val="0"/>
          <w:i w:val="0"/>
        </w:rPr>
        <w:t>taxa bruta = (óbitos evitáveis de 5–74 anos ÷ população) × 100.000. Como desfecho principal, porém, usamos a taxa padronizada por idade (abaixo).</w:t>
      </w:r>
    </w:p>
    <w:p>
      <w:pPr>
        <w:pStyle w:val="Heading2"/>
      </w:pPr>
      <w:r>
        <w:rPr>
          <w:color w:val="1F3B57"/>
        </w:rPr>
        <w:t>3.3. Padronização por idade</w:t>
      </w:r>
    </w:p>
    <w:p>
      <w:r>
        <w:rPr>
          <w:b w:val="0"/>
          <w:i w:val="0"/>
        </w:rPr>
        <w:t>A taxa bruta não corrige a estrutura etária: como as causas evitáveis (5–74 anos) são dominadas por doenças crônicas que matam perto dos 70, municípios mais envelhecidos têm taxa bruta maior só por isso. Calculamos a taxa padronizada por idade (padronização direta): a taxa específica de cada faixa quinquenal é ponderada pelos pesos da estrutura etária nacional (Censo 2022). O numerador por faixa vem dos microdados (idade de cada óbito); o denominador por faixa é extraído do Censo 2022 (IBGE, tabela 9514). É a taxa que cada município teria se tivesse a estrutura etária do Brasil — tornando as comparações entre eles justas.</w:t>
      </w:r>
    </w:p>
    <w:p>
      <w:pPr>
        <w:pStyle w:val="Heading2"/>
      </w:pPr>
      <w:r>
        <w:rPr>
          <w:color w:val="1F3B57"/>
        </w:rPr>
        <w:t>3.4. Modelagem (regressão em painel)</w:t>
      </w:r>
    </w:p>
    <w:p>
      <w:r>
        <w:rPr>
          <w:b w:val="0"/>
          <w:i w:val="0"/>
        </w:rPr>
        <w:t>Tratamos os três anos como um painel agrupado (pooled), com o ano incluído como variável dummy para capturar choques comuns de período. Optou-se por não usar efeitos fixos de município porque a maioria das features (Atlas 2010) é invariante no tempo e seria absorvida por esses efeitos. Três modelos foram comparados:</w:t>
      </w:r>
    </w:p>
    <w:p>
      <w:pPr>
        <w:pStyle w:val="ListBullet"/>
      </w:pPr>
      <w:r>
        <w:rPr>
          <w:b/>
          <w:i w:val="0"/>
        </w:rPr>
        <w:t xml:space="preserve">OLS </w:t>
      </w:r>
      <w:r>
        <w:rPr>
          <w:b w:val="0"/>
          <w:i w:val="0"/>
        </w:rPr>
        <w:t>(statsmodels), com erros-padrão cluster-robust por município — corrige a correlação entre as três observações de cada cidade.</w:t>
      </w:r>
    </w:p>
    <w:p>
      <w:pPr>
        <w:pStyle w:val="ListBullet"/>
      </w:pPr>
      <w:r>
        <w:rPr>
          <w:b/>
          <w:i w:val="0"/>
        </w:rPr>
        <w:t xml:space="preserve">Random Forest e XGBoost, </w:t>
      </w:r>
      <w:r>
        <w:rPr>
          <w:b w:val="0"/>
          <w:i w:val="0"/>
        </w:rPr>
        <w:t>para capturar não-linearidades e interações.</w:t>
      </w:r>
    </w:p>
    <w:p>
      <w:r>
        <w:rPr>
          <w:b w:val="0"/>
          <w:i w:val="0"/>
        </w:rPr>
        <w:t>A divisão treino/teste usa GroupShuffleSplit por município (80/20), impedindo que o mesmo município apareça em treino e teste — o que inflaria artificialmente o R².</w:t>
      </w:r>
    </w:p>
    <w:p>
      <w:pPr>
        <w:pStyle w:val="Heading2"/>
      </w:pPr>
      <w:r>
        <w:rPr>
          <w:color w:val="1F3B57"/>
        </w:rPr>
        <w:t>3.5. Clusterização</w:t>
      </w:r>
    </w:p>
    <w:p>
      <w:r>
        <w:rPr>
          <w:b w:val="0"/>
          <w:i w:val="0"/>
        </w:rPr>
        <w:t>Para a tipologia de municípios, agregamos as três observações de cada município em uma única linha (média das variáveis temporais; valor único das do Atlas). Aplicamos K-Means sobre sete features socioeconômicas padronizadas (IDH-M, Gini, log do PIB per capita, log da despesa em saúde per capita, analfabetismo, água encanada e esperança de vida). O número de clusters (k=4) foi escolhido pela combinação de método do cotovelo e silhouette, priorizando a interpretabilidade. A taxa de mortalidade não entrou nas features (evita circularidade): ela é usada apenas para caracterizar os clusters depois de formados.</w:t>
      </w:r>
    </w:p>
    <w:p>
      <w:pPr>
        <w:pStyle w:val="Heading2"/>
      </w:pPr>
      <w:r>
        <w:rPr>
          <w:color w:val="1F3B57"/>
        </w:rPr>
        <w:t>3.6. Mineração das causas</w:t>
      </w:r>
    </w:p>
    <w:p>
      <w:r>
        <w:rPr>
          <w:b w:val="0"/>
          <w:i w:val="0"/>
        </w:rPr>
        <w:t>Cada óbito individual foi associado ao cluster de seu município. As descrições oficiais dos códigos CID-10 vieram das tabelas auxiliares do DATASUS (CID10.DBF). Para identificar causas características de cada cluster — e não apenas as mais frequentes — usamos o lift: a razão entre a participação da causa no cluster e sua participação nacional. Valores acima de 1 indicam sobre-representação no cluster.</w:t>
      </w:r>
    </w:p>
    <w:p>
      <w:pPr>
        <w:pStyle w:val="Heading1"/>
      </w:pPr>
      <w:r>
        <w:rPr>
          <w:color w:val="1F3B57"/>
        </w:rPr>
        <w:t>4. Resultados</w:t>
      </w:r>
    </w:p>
    <w:p>
      <w:pPr>
        <w:pStyle w:val="Heading2"/>
      </w:pPr>
      <w:r>
        <w:rPr>
          <w:color w:val="1F3B57"/>
        </w:rPr>
        <w:t>4.1. Panorama descritivo</w:t>
      </w:r>
    </w:p>
    <w:p>
      <w:r>
        <w:rPr>
          <w:b w:val="0"/>
          <w:i w:val="0"/>
        </w:rPr>
        <w:t>Dos 4,54 milhões de óbitos registrados no triênio, 2,49 milhões estão na faixa de 5 a 74 anos, dos quais 1,37 milhão foram classificados como evitáveis pela LBCE. A distribuição entre grupos é fortemente dominada pelas doenças não transmissíveis: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</w:tcPr>
          <w:p>
            <w:r/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Óbitos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%</w:t>
            </w:r>
          </w:p>
        </w:tc>
      </w:tr>
      <w:tr>
        <w:tc>
          <w:tcPr>
            <w:tcW w:type="dxa" w:w="5184"/>
          </w:tcPr>
          <w:p>
            <w:r>
              <w:t>Doenças não transmissíveis</w:t>
            </w:r>
          </w:p>
        </w:tc>
        <w:tc>
          <w:tcPr>
            <w:tcW w:type="dxa" w:w="2880"/>
          </w:tcPr>
          <w:p>
            <w:r>
              <w:t>1.109.236</w:t>
            </w:r>
          </w:p>
        </w:tc>
        <w:tc>
          <w:tcPr>
            <w:tcW w:type="dxa" w:w="1728"/>
          </w:tcPr>
          <w:p>
            <w:r>
              <w:t>81,2</w:t>
            </w:r>
          </w:p>
        </w:tc>
      </w:tr>
      <w:tr>
        <w:tc>
          <w:tcPr>
            <w:tcW w:type="dxa" w:w="5184"/>
          </w:tcPr>
          <w:p>
            <w:r>
              <w:t>Doenças infecciosas</w:t>
            </w:r>
          </w:p>
        </w:tc>
        <w:tc>
          <w:tcPr>
            <w:tcW w:type="dxa" w:w="2880"/>
          </w:tcPr>
          <w:p>
            <w:r>
              <w:t>250.735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</w:tr>
      <w:tr>
        <w:tc>
          <w:tcPr>
            <w:tcW w:type="dxa" w:w="5184"/>
          </w:tcPr>
          <w:p>
            <w:r>
              <w:t>Morte materna</w:t>
            </w:r>
          </w:p>
        </w:tc>
        <w:tc>
          <w:tcPr>
            <w:tcW w:type="dxa" w:w="2880"/>
          </w:tcPr>
          <w:p>
            <w:r>
              <w:t>4.827</w:t>
            </w:r>
          </w:p>
        </w:tc>
        <w:tc>
          <w:tcPr>
            <w:tcW w:type="dxa" w:w="1728"/>
          </w:tcPr>
          <w:p>
            <w:r>
              <w:t>0,4</w:t>
            </w:r>
          </w:p>
        </w:tc>
      </w:tr>
      <w:tr>
        <w:tc>
          <w:tcPr>
            <w:tcW w:type="dxa" w:w="5184"/>
          </w:tcPr>
          <w:p>
            <w:r>
              <w:t>Imunoprevenção</w:t>
            </w:r>
          </w:p>
        </w:tc>
        <w:tc>
          <w:tcPr>
            <w:tcW w:type="dxa" w:w="2880"/>
          </w:tcPr>
          <w:p>
            <w:r>
              <w:t>1.669</w:t>
            </w:r>
          </w:p>
        </w:tc>
        <w:tc>
          <w:tcPr>
            <w:tcW w:type="dxa" w:w="1728"/>
          </w:tcPr>
          <w:p>
            <w:r>
              <w:t>0,1</w:t>
            </w:r>
          </w:p>
        </w:tc>
      </w:tr>
      <w:tr>
        <w:tc>
          <w:tcPr>
            <w:tcW w:type="dxa" w:w="5184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1.366.467</w:t>
            </w:r>
          </w:p>
        </w:tc>
        <w:tc>
          <w:tcPr>
            <w:tcW w:type="dxa" w:w="1728"/>
          </w:tcPr>
          <w:p>
            <w:r>
              <w:t>100,0</w:t>
            </w:r>
          </w:p>
        </w:tc>
      </w:tr>
    </w:tbl>
    <w:p>
      <w:r>
        <w:rPr>
          <w:b w:val="0"/>
          <w:i w:val="0"/>
        </w:rPr>
        <w:t>A taxa bruta média municipal foi de aproximadamente 226 óbitos evitáveis por 100 mil habitantes, com grande dispersão (de &lt;50 a &gt;650 por 100 mil).</w:t>
      </w:r>
    </w:p>
    <w:p>
      <w:r>
        <w:rPr>
          <w:b/>
          <w:i w:val="0"/>
        </w:rPr>
        <w:t xml:space="preserve">Efeito da padronização por idade. </w:t>
      </w:r>
      <w:r>
        <w:rPr>
          <w:b w:val="0"/>
          <w:i w:val="0"/>
        </w:rPr>
        <w:t>Pela taxa bruta, o gradiente regional é invertido em relação à hipótese (Sul/Sudeste no topo). A padronização corrige o paradoxo: o Nordeste passa a superar Sudeste e Sul, e o Norte sobe de 159 para 228 — coerente com a tese.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</w:rPr>
              <w:t>Região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Taxa bruta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Taxa padronizada</w:t>
            </w:r>
          </w:p>
        </w:tc>
      </w:tr>
      <w:tr>
        <w:tc>
          <w:tcPr>
            <w:tcW w:type="dxa" w:w="3168"/>
          </w:tcPr>
          <w:p>
            <w:r>
              <w:t>Norte</w:t>
            </w:r>
          </w:p>
        </w:tc>
        <w:tc>
          <w:tcPr>
            <w:tcW w:type="dxa" w:w="2880"/>
          </w:tcPr>
          <w:p>
            <w:r>
              <w:t>158,9</w:t>
            </w:r>
          </w:p>
        </w:tc>
        <w:tc>
          <w:tcPr>
            <w:tcW w:type="dxa" w:w="3456"/>
          </w:tcPr>
          <w:p>
            <w:r>
              <w:t>227,6</w:t>
            </w:r>
          </w:p>
        </w:tc>
      </w:tr>
      <w:tr>
        <w:tc>
          <w:tcPr>
            <w:tcW w:type="dxa" w:w="3168"/>
          </w:tcPr>
          <w:p>
            <w:r>
              <w:t>Nordeste</w:t>
            </w:r>
          </w:p>
        </w:tc>
        <w:tc>
          <w:tcPr>
            <w:tcW w:type="dxa" w:w="2880"/>
          </w:tcPr>
          <w:p>
            <w:r>
              <w:t>204,1</w:t>
            </w:r>
          </w:p>
        </w:tc>
        <w:tc>
          <w:tcPr>
            <w:tcW w:type="dxa" w:w="3456"/>
          </w:tcPr>
          <w:p>
            <w:r>
              <w:t>247,3</w:t>
            </w:r>
          </w:p>
        </w:tc>
      </w:tr>
      <w:tr>
        <w:tc>
          <w:tcPr>
            <w:tcW w:type="dxa" w:w="3168"/>
          </w:tcPr>
          <w:p>
            <w:r>
              <w:t>Centro-Oeste</w:t>
            </w:r>
          </w:p>
        </w:tc>
        <w:tc>
          <w:tcPr>
            <w:tcW w:type="dxa" w:w="2880"/>
          </w:tcPr>
          <w:p>
            <w:r>
              <w:t>229,8</w:t>
            </w:r>
          </w:p>
        </w:tc>
        <w:tc>
          <w:tcPr>
            <w:tcW w:type="dxa" w:w="3456"/>
          </w:tcPr>
          <w:p>
            <w:r>
              <w:t>257,4</w:t>
            </w:r>
          </w:p>
        </w:tc>
      </w:tr>
      <w:tr>
        <w:tc>
          <w:tcPr>
            <w:tcW w:type="dxa" w:w="3168"/>
          </w:tcPr>
          <w:p>
            <w:r>
              <w:t>Sudeste</w:t>
            </w:r>
          </w:p>
        </w:tc>
        <w:tc>
          <w:tcPr>
            <w:tcW w:type="dxa" w:w="2880"/>
          </w:tcPr>
          <w:p>
            <w:r>
              <w:t>244,6</w:t>
            </w:r>
          </w:p>
        </w:tc>
        <w:tc>
          <w:tcPr>
            <w:tcW w:type="dxa" w:w="3456"/>
          </w:tcPr>
          <w:p>
            <w:r>
              <w:t>244,5</w:t>
            </w:r>
          </w:p>
        </w:tc>
      </w:tr>
      <w:tr>
        <w:tc>
          <w:tcPr>
            <w:tcW w:type="dxa" w:w="3168"/>
          </w:tcPr>
          <w:p>
            <w:r>
              <w:t>Sul</w:t>
            </w:r>
          </w:p>
        </w:tc>
        <w:tc>
          <w:tcPr>
            <w:tcW w:type="dxa" w:w="2880"/>
          </w:tcPr>
          <w:p>
            <w:r>
              <w:t>256,5</w:t>
            </w:r>
          </w:p>
        </w:tc>
        <w:tc>
          <w:tcPr>
            <w:tcW w:type="dxa" w:w="3456"/>
          </w:tcPr>
          <w:p>
            <w:r>
              <w:t>241,9</w:t>
            </w:r>
          </w:p>
        </w:tc>
      </w:tr>
    </w:tbl>
    <w:p>
      <w:pPr>
        <w:pStyle w:val="Heading2"/>
      </w:pPr>
      <w:r>
        <w:rPr>
          <w:color w:val="1F3B57"/>
        </w:rPr>
        <w:t>4.2. Regressão</w:t>
      </w:r>
    </w:p>
    <w:p>
      <w:r>
        <w:rPr>
          <w:b w:val="0"/>
          <w:i w:val="0"/>
        </w:rPr>
        <w:t>Os modelos foram estimados sobre a taxa padronizada (desfecho principal). O desempenho preditivo é baixo (R² ≈ 0,09–0,10): ao remover a variância de estrutura etária — que estava correlacionada com região/desenvolvimento e inflava o R² da taxa bruta (≈ 0,23) — resta apenas o sinal socioeconômico puro, menor mas no sentido correto. O objetivo é inferência, não predição.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R²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RMSE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MAE</w:t>
            </w:r>
          </w:p>
        </w:tc>
      </w:tr>
      <w:tr>
        <w:tc>
          <w:tcPr>
            <w:tcW w:type="dxa" w:w="3744"/>
          </w:tcPr>
          <w:p>
            <w:r>
              <w:t>OLS (linear)</w:t>
            </w:r>
          </w:p>
        </w:tc>
        <w:tc>
          <w:tcPr>
            <w:tcW w:type="dxa" w:w="2016"/>
          </w:tcPr>
          <w:p>
            <w:r>
              <w:t>0,092</w:t>
            </w:r>
          </w:p>
        </w:tc>
        <w:tc>
          <w:tcPr>
            <w:tcW w:type="dxa" w:w="2016"/>
          </w:tcPr>
          <w:p>
            <w:r>
              <w:t>71,0</w:t>
            </w:r>
          </w:p>
        </w:tc>
        <w:tc>
          <w:tcPr>
            <w:tcW w:type="dxa" w:w="2016"/>
          </w:tcPr>
          <w:p>
            <w:r>
              <w:t>53,9</w:t>
            </w:r>
          </w:p>
        </w:tc>
      </w:tr>
      <w:tr>
        <w:tc>
          <w:tcPr>
            <w:tcW w:type="dxa" w:w="3744"/>
          </w:tcPr>
          <w:p>
            <w:r>
              <w:t>Random Forest</w:t>
            </w:r>
          </w:p>
        </w:tc>
        <w:tc>
          <w:tcPr>
            <w:tcW w:type="dxa" w:w="2016"/>
          </w:tcPr>
          <w:p>
            <w:r>
              <w:t>0,091</w:t>
            </w:r>
          </w:p>
        </w:tc>
        <w:tc>
          <w:tcPr>
            <w:tcW w:type="dxa" w:w="2016"/>
          </w:tcPr>
          <w:p>
            <w:r>
              <w:t>71,0</w:t>
            </w:r>
          </w:p>
        </w:tc>
        <w:tc>
          <w:tcPr>
            <w:tcW w:type="dxa" w:w="2016"/>
          </w:tcPr>
          <w:p>
            <w:r>
              <w:t>54,1</w:t>
            </w:r>
          </w:p>
        </w:tc>
      </w:tr>
      <w:tr>
        <w:tc>
          <w:tcPr>
            <w:tcW w:type="dxa" w:w="3744"/>
          </w:tcPr>
          <w:p>
            <w:r>
              <w:t>XGBoost</w:t>
            </w:r>
          </w:p>
        </w:tc>
        <w:tc>
          <w:tcPr>
            <w:tcW w:type="dxa" w:w="2016"/>
          </w:tcPr>
          <w:p>
            <w:r>
              <w:t>0,103</w:t>
            </w:r>
          </w:p>
        </w:tc>
        <w:tc>
          <w:tcPr>
            <w:tcW w:type="dxa" w:w="2016"/>
          </w:tcPr>
          <w:p>
            <w:r>
              <w:t>70,6</w:t>
            </w:r>
          </w:p>
        </w:tc>
        <w:tc>
          <w:tcPr>
            <w:tcW w:type="dxa" w:w="2016"/>
          </w:tcPr>
          <w:p>
            <w:r>
              <w:t>53,7</w:t>
            </w:r>
          </w:p>
        </w:tc>
      </w:tr>
    </w:tbl>
    <w:p>
      <w:r>
        <w:rPr>
          <w:b w:val="0"/>
          <w:i w:val="0"/>
        </w:rPr>
        <w:t>No painel completo (com controles de região e ano), o Gini permanece o achado central: +151 (p&lt;0,001) — mais desigualdade, mais mortalidade. Renda per capita (−0,14), esperança de vida (−4,2) e proporção de pobres (−2,1, colinear com renda) também são significativas. O efeito do IDH-M é absorvido pelas dummies de região. Para isolá-lo, a tabela abaixo compara um modelo transversal sem controles de região, com alvo bruto vs. padronizado (*** p&lt;0,001):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</w:rPr>
              <w:t>Variável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Alvo: taxa bruta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Alvo: taxa padronizada</w:t>
            </w:r>
          </w:p>
        </w:tc>
      </w:tr>
      <w:tr>
        <w:tc>
          <w:tcPr>
            <w:tcW w:type="dxa" w:w="3456"/>
          </w:tcPr>
          <w:p>
            <w:r>
              <w:t>IDH-M</w:t>
            </w:r>
          </w:p>
        </w:tc>
        <w:tc>
          <w:tcPr>
            <w:tcW w:type="dxa" w:w="3168"/>
          </w:tcPr>
          <w:p>
            <w:r>
              <w:t>−77,1 ***</w:t>
            </w:r>
          </w:p>
        </w:tc>
        <w:tc>
          <w:tcPr>
            <w:tcW w:type="dxa" w:w="3456"/>
          </w:tcPr>
          <w:p>
            <w:r>
              <w:t>−126,5 ***</w:t>
            </w:r>
          </w:p>
        </w:tc>
      </w:tr>
      <w:tr>
        <w:tc>
          <w:tcPr>
            <w:tcW w:type="dxa" w:w="3456"/>
          </w:tcPr>
          <w:p>
            <w:r>
              <w:t>Gini</w:t>
            </w:r>
          </w:p>
        </w:tc>
        <w:tc>
          <w:tcPr>
            <w:tcW w:type="dxa" w:w="3168"/>
          </w:tcPr>
          <w:p>
            <w:r>
              <w:t>+43,6 *</w:t>
            </w:r>
          </w:p>
        </w:tc>
        <w:tc>
          <w:tcPr>
            <w:tcW w:type="dxa" w:w="3456"/>
          </w:tcPr>
          <w:p>
            <w:r>
              <w:t>+85,8 ***</w:t>
            </w:r>
          </w:p>
        </w:tc>
      </w:tr>
      <w:tr>
        <w:tc>
          <w:tcPr>
            <w:tcW w:type="dxa" w:w="3456"/>
          </w:tcPr>
          <w:p>
            <w:r>
              <w:t>Esperança de vida</w:t>
            </w:r>
          </w:p>
        </w:tc>
        <w:tc>
          <w:tcPr>
            <w:tcW w:type="dxa" w:w="3168"/>
          </w:tcPr>
          <w:p>
            <w:r>
              <w:t>−0,1</w:t>
            </w:r>
          </w:p>
        </w:tc>
        <w:tc>
          <w:tcPr>
            <w:tcW w:type="dxa" w:w="3456"/>
          </w:tcPr>
          <w:p>
            <w:r>
              <w:t>−3,5 ***</w:t>
            </w:r>
          </w:p>
        </w:tc>
      </w:tr>
    </w:tbl>
    <w:p>
      <w:r>
        <w:rPr>
          <w:b w:val="0"/>
          <w:i w:val="0"/>
        </w:rPr>
        <w:t>Com a taxa padronizada, o IDH-M passa a ter efeito negativo e fortemente significativo (mais desenvolvimento → menos mortalidade) e o Gini reforça — exatamente os sinais previstos pela hipótese. A importância das features nos modelos de árvore é liderada pela proporção de pobres e pela região.</w:t>
      </w:r>
    </w:p>
    <w:p>
      <w:pPr>
        <w:pStyle w:val="Heading2"/>
      </w:pPr>
      <w:r>
        <w:rPr>
          <w:color w:val="1F3B57"/>
        </w:rPr>
        <w:t>4.3. Clusters de municípios</w:t>
      </w:r>
    </w:p>
    <w:p>
      <w:r>
        <w:rPr>
          <w:b w:val="0"/>
          <w:i w:val="0"/>
        </w:rPr>
        <w:t>A clusterização produziu quatro perfis bem separados (ANOVA altamente significativa), renumerados por IDH-M crescente (cluster 0 = mais vulnerável). A taxa padronizada é a comparável: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20"/>
          </w:tcPr>
          <w:p>
            <w:r/>
            <w:r>
              <w:rPr>
                <w:b/>
              </w:rPr>
              <w:t>Cl.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Mun.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Taxa bruta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Taxa padr.</w:t>
            </w:r>
          </w:p>
        </w:tc>
        <w:tc>
          <w:tcPr>
            <w:tcW w:type="dxa" w:w="1224"/>
          </w:tcPr>
          <w:p>
            <w:r/>
            <w:r>
              <w:rPr>
                <w:b/>
              </w:rPr>
              <w:t>IDH-M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Gini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Água%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Região dom.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1224"/>
          </w:tcPr>
          <w:p>
            <w:r>
              <w:t>784</w:t>
            </w:r>
          </w:p>
        </w:tc>
        <w:tc>
          <w:tcPr>
            <w:tcW w:type="dxa" w:w="1440"/>
          </w:tcPr>
          <w:p>
            <w:r>
              <w:t>183</w:t>
            </w:r>
          </w:p>
        </w:tc>
        <w:tc>
          <w:tcPr>
            <w:tcW w:type="dxa" w:w="1440"/>
          </w:tcPr>
          <w:p>
            <w:r>
              <w:t>232</w:t>
            </w:r>
          </w:p>
        </w:tc>
        <w:tc>
          <w:tcPr>
            <w:tcW w:type="dxa" w:w="1224"/>
          </w:tcPr>
          <w:p>
            <w:r>
              <w:t>0,56</w:t>
            </w:r>
          </w:p>
        </w:tc>
        <w:tc>
          <w:tcPr>
            <w:tcW w:type="dxa" w:w="1080"/>
          </w:tcPr>
          <w:p>
            <w:r>
              <w:t>0,54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584"/>
          </w:tcPr>
          <w:p>
            <w:r>
              <w:t>NE/N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1.573</w:t>
            </w:r>
          </w:p>
        </w:tc>
        <w:tc>
          <w:tcPr>
            <w:tcW w:type="dxa" w:w="1440"/>
          </w:tcPr>
          <w:p>
            <w:r>
              <w:t>208</w:t>
            </w:r>
          </w:p>
        </w:tc>
        <w:tc>
          <w:tcPr>
            <w:tcW w:type="dxa" w:w="1440"/>
          </w:tcPr>
          <w:p>
            <w:r>
              <w:t>249</w:t>
            </w:r>
          </w:p>
        </w:tc>
        <w:tc>
          <w:tcPr>
            <w:tcW w:type="dxa" w:w="1224"/>
          </w:tcPr>
          <w:p>
            <w:r>
              <w:t>0,60</w:t>
            </w:r>
          </w:p>
        </w:tc>
        <w:tc>
          <w:tcPr>
            <w:tcW w:type="dxa" w:w="1080"/>
          </w:tcPr>
          <w:p>
            <w:r>
              <w:t>0,52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584"/>
          </w:tcPr>
          <w:p>
            <w:r>
              <w:t>NE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224"/>
          </w:tcPr>
          <w:p>
            <w:r>
              <w:t>1.430</w:t>
            </w:r>
          </w:p>
        </w:tc>
        <w:tc>
          <w:tcPr>
            <w:tcW w:type="dxa" w:w="1440"/>
          </w:tcPr>
          <w:p>
            <w:r>
              <w:t>248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224"/>
          </w:tcPr>
          <w:p>
            <w:r>
              <w:t>0,70</w:t>
            </w:r>
          </w:p>
        </w:tc>
        <w:tc>
          <w:tcPr>
            <w:tcW w:type="dxa" w:w="1080"/>
          </w:tcPr>
          <w:p>
            <w:r>
              <w:t>0,45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584"/>
          </w:tcPr>
          <w:p>
            <w:r>
              <w:t>SE/S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224"/>
          </w:tcPr>
          <w:p>
            <w:r>
              <w:t>1.774</w:t>
            </w:r>
          </w:p>
        </w:tc>
        <w:tc>
          <w:tcPr>
            <w:tcW w:type="dxa" w:w="1440"/>
          </w:tcPr>
          <w:p>
            <w:r>
              <w:t>243</w:t>
            </w:r>
          </w:p>
        </w:tc>
        <w:tc>
          <w:tcPr>
            <w:tcW w:type="dxa" w:w="1440"/>
          </w:tcPr>
          <w:p>
            <w:r>
              <w:t>251</w:t>
            </w:r>
          </w:p>
        </w:tc>
        <w:tc>
          <w:tcPr>
            <w:tcW w:type="dxa" w:w="1224"/>
          </w:tcPr>
          <w:p>
            <w:r>
              <w:t>0,72</w:t>
            </w:r>
          </w:p>
        </w:tc>
        <w:tc>
          <w:tcPr>
            <w:tcW w:type="dxa" w:w="1080"/>
          </w:tcPr>
          <w:p>
            <w:r>
              <w:t>0,48</w:t>
            </w:r>
          </w:p>
        </w:tc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584"/>
          </w:tcPr>
          <w:p>
            <w:r>
              <w:t>SE/S</w:t>
            </w:r>
          </w:p>
        </w:tc>
      </w:tr>
    </w:tbl>
    <w:p>
      <w:r>
        <w:rPr>
          <w:b w:val="0"/>
          <w:i w:val="0"/>
        </w:rPr>
        <w:t>Os clusters 0 e 1 reúnem municípios de menor IDH-M e pior saneamento (Nordeste e Norte); os 2 e 3, os mais desenvolvidos (Sudeste e Sul). Pela taxa bruta, os desenvolvidos pareciam ter mortalidade maior (artefato etário); pela padronizada, as taxas se aproximam (232–251) e a falsa vantagem das regiões pobres desaparece.</w:t>
      </w:r>
    </w:p>
    <w:p>
      <w:pPr>
        <w:pStyle w:val="Heading2"/>
      </w:pPr>
      <w:r>
        <w:rPr>
          <w:color w:val="1F3B57"/>
        </w:rPr>
        <w:t>4.4. Mineração: do que morre cada perfil</w:t>
      </w:r>
    </w:p>
    <w:p>
      <w:r>
        <w:rPr>
          <w:b w:val="0"/>
          <w:i w:val="0"/>
        </w:rPr>
        <w:t>A composição agregada de causas é semelhante entre clusters — todos dominados por infarto, diabetes e neoplasias. O sinal socioeconômico aparece nas causas sobre-representadas (lift):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</w:rPr>
              <w:t>Cluster</w:t>
            </w:r>
          </w:p>
        </w:tc>
        <w:tc>
          <w:tcPr>
            <w:tcW w:type="dxa" w:w="7920"/>
          </w:tcPr>
          <w:p>
            <w:r/>
            <w:r>
              <w:rPr>
                <w:b/>
              </w:rPr>
              <w:t>Causas características (lift)</w:t>
            </w:r>
          </w:p>
        </w:tc>
      </w:tr>
      <w:tr>
        <w:tc>
          <w:tcPr>
            <w:tcW w:type="dxa" w:w="2160"/>
          </w:tcPr>
          <w:p>
            <w:r>
              <w:t>0 (mais pobre)</w:t>
            </w:r>
          </w:p>
        </w:tc>
        <w:tc>
          <w:tcPr>
            <w:tcW w:type="dxa" w:w="7920"/>
          </w:tcPr>
          <w:p>
            <w:r>
              <w:t>AVC (1,6×), transtornos por álcool (1,6×), diabetes, doença de Chagas, diarreia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7920"/>
          </w:tcPr>
          <w:p>
            <w:r>
              <w:t>esquistossomose (2,5×), doença de Chagas (1,7×), álcool, infecções intestinais</w:t>
            </w:r>
          </w:p>
        </w:tc>
      </w:tr>
      <w:tr>
        <w:tc>
          <w:tcPr>
            <w:tcW w:type="dxa" w:w="2160"/>
          </w:tcPr>
          <w:p>
            <w:r>
              <w:t>2 (mais rico)</w:t>
            </w:r>
          </w:p>
        </w:tc>
        <w:tc>
          <w:tcPr>
            <w:tcW w:type="dxa" w:w="7920"/>
          </w:tcPr>
          <w:p>
            <w:r>
              <w:t>cardiopatia isquêmica crônica, infarto cerebral, neoplasia de cólon, hepatite crônica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7920"/>
          </w:tcPr>
          <w:p>
            <w:r>
              <w:t>dengue, enfisema, hipertensão, neoplasias de esôfago e laringe</w:t>
            </w:r>
          </w:p>
        </w:tc>
      </w:tr>
    </w:tbl>
    <w:p>
      <w:r>
        <w:rPr>
          <w:b w:val="0"/>
          <w:i w:val="0"/>
        </w:rPr>
        <w:t>Há, portanto, uma assinatura socioeconômica dupla: perfis pobres ainda carregam doenças infecciosas e negligenciadas (Chagas, esquistossomose, diarreia) que o desenvolvimento deveria ter eliminado, enquanto perfis ricos concentram doenças crônicas. A morte materna também segue o gradiente esperado, caindo de 0,65% dos óbitos no cluster 0 para 0,31% no cluster 3.</w:t>
      </w:r>
    </w:p>
    <w:p>
      <w:pPr>
        <w:pStyle w:val="Heading1"/>
      </w:pPr>
      <w:r>
        <w:rPr>
          <w:color w:val="1F3B57"/>
        </w:rPr>
        <w:t>5. Discussão e Limitações</w:t>
      </w:r>
    </w:p>
    <w:p>
      <w:r>
        <w:rPr>
          <w:b/>
          <w:i w:val="0"/>
        </w:rPr>
        <w:t xml:space="preserve">Padronização por idade (resolvida). </w:t>
      </w:r>
      <w:r>
        <w:rPr>
          <w:b w:val="0"/>
          <w:i w:val="0"/>
        </w:rPr>
        <w:t>A taxa bruta produzia um resultado paradoxal — maior nos clusters desenvolvidos — por confundimento etário: municípios desenvolvidos têm população mais envelhecida na faixa 5–74 anos e acumulam mais mortes por doenças crônicas. A padronização direta (com a estrutura etária do Censo 2022) corrige esse viés: o gradiente regional se realinha (Nordeste passa a superar Sudeste/Sul) e o coeficiente do IDH-M se torna negativo, como previsto. Permanecem duas ressalvas técnicas: (i) a padronização direta é sensível a ruído em municípios pequenos com poucas mortes por faixa — uma padronização indireta (SMR) seria mais estável; (ii) o denominador por idade é do Censo 2022, aplicado aos três anos (a estrutura etária varia pouco no período).</w:t>
      </w:r>
    </w:p>
    <w:p>
      <w:r>
        <w:rPr>
          <w:b/>
          <w:i w:val="0"/>
        </w:rPr>
        <w:t xml:space="preserve">Subnotificação em áreas remotas. </w:t>
      </w:r>
      <w:r>
        <w:rPr>
          <w:b w:val="0"/>
          <w:i w:val="0"/>
        </w:rPr>
        <w:t>O cluster mais vulnerável (0, Norte/Nordeste rural) apresenta a menor taxa padronizada, o que provavelmente reflete subnotificação de óbitos e causas mal-definidas nessas áreas, e não menor mortalidade real — uma limitação dos próprios registros do SIM.</w:t>
      </w:r>
    </w:p>
    <w:p>
      <w:r>
        <w:rPr>
          <w:b/>
          <w:i w:val="0"/>
        </w:rPr>
        <w:t xml:space="preserve">Endogeneidade da despesa em saúde. </w:t>
      </w:r>
      <w:r>
        <w:rPr>
          <w:b w:val="0"/>
          <w:i w:val="0"/>
        </w:rPr>
        <w:t>O coeficiente positivo da despesa per capita (mais gasto associado a mais mortes) não deve ser lido como causal: municípios com maior carga de doença tendem a gastar mais (causalidade reversa). Isolar esse efeito exigiria instrumentos ou defasagens temporais.</w:t>
      </w:r>
    </w:p>
    <w:p>
      <w:r>
        <w:rPr>
          <w:b/>
          <w:i w:val="0"/>
        </w:rPr>
        <w:t xml:space="preserve">Atlas DH defasado. </w:t>
      </w:r>
      <w:r>
        <w:rPr>
          <w:b w:val="0"/>
          <w:i w:val="0"/>
        </w:rPr>
        <w:t>IDH-M, Gini e renda referem-se a 2010, enquanto os óbitos são de 2022–2024. Essa defasagem de medição atenua as associações e contribui para o R² modesto.</w:t>
      </w:r>
    </w:p>
    <w:p>
      <w:r>
        <w:rPr>
          <w:b/>
          <w:i w:val="0"/>
        </w:rPr>
        <w:t xml:space="preserve">Natureza ecológica. </w:t>
      </w:r>
      <w:r>
        <w:rPr>
          <w:b w:val="0"/>
          <w:i w:val="0"/>
        </w:rPr>
        <w:t>Os clusters e as associações são de nível municipal. Não se pode inferir, a partir deles, o comportamento de indivíduos (falácia ecológica).</w:t>
      </w:r>
    </w:p>
    <w:p>
      <w:pPr>
        <w:pStyle w:val="Heading1"/>
      </w:pPr>
      <w:r>
        <w:rPr>
          <w:color w:val="1F3B57"/>
        </w:rPr>
        <w:t>6. Conclusão</w:t>
      </w:r>
    </w:p>
    <w:p>
      <w:r>
        <w:rPr>
          <w:b w:val="0"/>
          <w:i w:val="0"/>
        </w:rPr>
        <w:t>O projeto entregou um pipeline reprodutível que integra cinco fontes públicas e sustenta três análises complementares. As evidências apontam, de forma consistente, que a mortalidade por causas evitáveis no Brasil tem natureza socioeconômica: a desigualdade (Gini) está associada positivamente à taxa de forma robusta, e o tipo de causa evitável varia sistematicamente com o perfil do município — doenças infecciosas e negligenciadas nos territórios pobres, doenças crônicas nos desenvolvidos. A padronização por idade, incorporada ao pipeline, corrigiu o paradoxo das taxas brutas e alinhou os sinais da regressão à hipótese (IDH-M negativo, Gini positivo). O aprofundamento futuro mais relevante é a incorporação de variáveis da rede de atenção à saúde (leitos e médicos por habitante, cobertura da atenção básica) e o tratamento da subnotificação em áreas remotas.</w:t>
      </w:r>
    </w:p>
    <w:p>
      <w:pPr>
        <w:pStyle w:val="Heading1"/>
      </w:pPr>
      <w:r>
        <w:rPr>
          <w:color w:val="1F3B57"/>
        </w:rPr>
        <w:t>Referências</w:t>
      </w:r>
    </w:p>
    <w:p>
      <w:pPr>
        <w:pStyle w:val="ListBullet"/>
      </w:pPr>
      <w:r>
        <w:t>Malta DC et al. Lista de causas de mortes evitáveis por intervenções do SUS. Epidemiol. Serv. Saúde, 16(4):233–244, 2007.</w:t>
      </w:r>
    </w:p>
    <w:p>
      <w:pPr>
        <w:pStyle w:val="ListBullet"/>
      </w:pPr>
      <w:r>
        <w:t>Malta DC et al. Atualização da lista de causas de mortes evitáveis [Nota técnica]. Epidemiol. Serv. Saúde, 19(2):173–176, 2010.</w:t>
      </w:r>
    </w:p>
    <w:p>
      <w:pPr>
        <w:pStyle w:val="ListBullet"/>
      </w:pPr>
      <w:r>
        <w:t>DATASUS. Sistema de Informações sobre Mortalidade (SIM) — microdados CID-10.</w:t>
      </w:r>
    </w:p>
    <w:p>
      <w:pPr>
        <w:pStyle w:val="ListBullet"/>
      </w:pPr>
      <w:r>
        <w:t>IBGE. Sidra — População e PIB municipal.</w:t>
      </w:r>
    </w:p>
    <w:p>
      <w:pPr>
        <w:pStyle w:val="ListBullet"/>
      </w:pPr>
      <w:r>
        <w:t>Tesouro Nacional. SICONFI — Declaração de Contas Anuais (DCA).</w:t>
      </w:r>
    </w:p>
    <w:p>
      <w:pPr>
        <w:pStyle w:val="ListBullet"/>
      </w:pPr>
      <w:r>
        <w:t>IPEA. Atlas do Desenvolvimento Humano (Censo 2010).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