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b/>
          <w:color w:val="17365D"/>
          <w:sz w:val="60"/>
        </w:rPr>
        <w:t>TECH CHALLENGE — FASE 3</w:t>
      </w:r>
    </w:p>
    <w:p>
      <w:pPr>
        <w:jc w:val="center"/>
      </w:pPr>
      <w:r>
        <w:rPr>
          <w:b/>
          <w:color w:val="E67E22"/>
          <w:sz w:val="42"/>
        </w:rPr>
        <w:t>Plataforma Analítica State of Data Brasil</w:t>
      </w:r>
    </w:p>
    <w:p>
      <w:r>
        <w:br/>
        <w:br/>
      </w:r>
    </w:p>
    <w:p>
      <w:pPr>
        <w:jc w:val="center"/>
      </w:pPr>
      <w:r>
        <w:rPr>
          <w:b/>
        </w:rPr>
        <w:t>Relatório técnico de Engenharia de Dados e Analytics em AWS</w:t>
        <w:br/>
        <w:br/>
      </w:r>
      <w:r>
        <w:t>POSTECH DTAT — Data Analytics</w:t>
        <w:br/>
        <w:t>Equipe do Tech Challenge</w:t>
        <w:br/>
        <w:t>Setembro de 2026</w:t>
      </w:r>
    </w:p>
    <w:p>
      <w:r>
        <w:br w:type="page"/>
      </w:r>
    </w:p>
    <w:p>
      <w:pPr>
        <w:jc w:val="both"/>
      </w:pPr>
      <w:r>
        <w:t>Plataforma Analítica State of Data Brasil Relatório técnico de Engenharia de Dados e Analytics em AWS POSTECH DTAT — Setembro de 2026</w:t>
      </w:r>
    </w:p>
    <w:p>
      <w:pPr>
        <w:pStyle w:val="Heading1"/>
      </w:pPr>
      <w:r>
        <w:t>Resumo executivo</w:t>
      </w:r>
    </w:p>
    <w:p>
      <w:pPr>
        <w:jc w:val="both"/>
      </w:pPr>
      <w:r>
        <w:t>Este relatório documenta a construção e a validação de uma plataforma analítica em AWS para as três edições mais recentes da pesquisa State of Data Brasil. A solução integra 14.005 respostas, harmoniza questionários estruturalmente diferentes e produz indicadores sobre mercado, remuneração, diversidade, tecnologias, inteligência artificial, modelos de trabalho e desafios de liderança.</w:t>
      </w:r>
    </w:p>
    <w:p>
      <w:pPr>
        <w:jc w:val="both"/>
      </w:pPr>
      <w:r>
        <w:t>O principal risco técnico não era o volume, mas a compatibilidade semântica: códigos iguais representam perguntas diferentes entre edições. Para impedir resultados silenciosamente incorretos, o pipeline usa um mapeamento curado de 41 dimensões, validações de integridade e uma conferência independente em pandas.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7365D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4929"/>
            <w:shd w:fill="17365D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4929"/>
          </w:tcPr>
          <w:p>
            <w:r>
              <w:t>Edições analisadas</w:t>
            </w:r>
          </w:p>
        </w:tc>
        <w:tc>
          <w:tcPr>
            <w:tcW w:type="dxa" w:w="4929"/>
          </w:tcPr>
          <w:p>
            <w:r>
              <w:t>2023-2024, 2024-2025 e 2025-2026</w:t>
            </w:r>
          </w:p>
        </w:tc>
      </w:tr>
      <w:tr>
        <w:tc>
          <w:tcPr>
            <w:tcW w:type="dxa" w:w="4929"/>
            <w:shd w:fill="F3F4F6"/>
          </w:tcPr>
          <w:p>
            <w:r>
              <w:t>Respondentes</w:t>
            </w:r>
          </w:p>
        </w:tc>
        <w:tc>
          <w:tcPr>
            <w:tcW w:type="dxa" w:w="4929"/>
            <w:shd w:fill="F3F4F6"/>
          </w:tcPr>
          <w:p>
            <w:r>
              <w:t>14.005</w:t>
            </w:r>
          </w:p>
        </w:tc>
      </w:tr>
      <w:tr>
        <w:tc>
          <w:tcPr>
            <w:tcW w:type="dxa" w:w="4929"/>
          </w:tcPr>
          <w:p>
            <w:r>
              <w:t>Dimensões harmonizadas</w:t>
            </w:r>
          </w:p>
        </w:tc>
        <w:tc>
          <w:tcPr>
            <w:tcW w:type="dxa" w:w="4929"/>
          </w:tcPr>
          <w:p>
            <w:r>
              <w:t>41</w:t>
            </w:r>
          </w:p>
        </w:tc>
      </w:tr>
      <w:tr>
        <w:tc>
          <w:tcPr>
            <w:tcW w:type="dxa" w:w="4929"/>
            <w:shd w:fill="F3F4F6"/>
          </w:tcPr>
          <w:p>
            <w:r>
              <w:t>Tabelas catalogadas</w:t>
            </w:r>
          </w:p>
        </w:tc>
        <w:tc>
          <w:tcPr>
            <w:tcW w:type="dxa" w:w="4929"/>
            <w:shd w:fill="F3F4F6"/>
          </w:tcPr>
          <w:p>
            <w:r>
              <w:t>11: 3 Silver e 8 Gold</w:t>
            </w:r>
          </w:p>
        </w:tc>
      </w:tr>
      <w:tr>
        <w:tc>
          <w:tcPr>
            <w:tcW w:type="dxa" w:w="4929"/>
          </w:tcPr>
          <w:p>
            <w:r>
              <w:t>Consultas Athena</w:t>
            </w:r>
          </w:p>
        </w:tc>
        <w:tc>
          <w:tcPr>
            <w:tcW w:type="dxa" w:w="4929"/>
          </w:tcPr>
          <w:p>
            <w:r>
              <w:t>16 concluídas, sem falhas</w:t>
            </w:r>
          </w:p>
        </w:tc>
      </w:tr>
      <w:tr>
        <w:tc>
          <w:tcPr>
            <w:tcW w:type="dxa" w:w="4929"/>
            <w:shd w:fill="F3F4F6"/>
          </w:tcPr>
          <w:p>
            <w:r>
              <w:t>AWS Glue Jobs</w:t>
            </w:r>
          </w:p>
        </w:tc>
        <w:tc>
          <w:tcPr>
            <w:tcW w:type="dxa" w:w="4929"/>
            <w:shd w:fill="F3F4F6"/>
          </w:tcPr>
          <w:p>
            <w:r>
              <w:t>2 concluídos com sucesso</w:t>
            </w:r>
          </w:p>
        </w:tc>
      </w:tr>
      <w:tr>
        <w:tc>
          <w:tcPr>
            <w:tcW w:type="dxa" w:w="4929"/>
          </w:tcPr>
          <w:p>
            <w:r>
              <w:t>Custo medido</w:t>
            </w:r>
          </w:p>
        </w:tc>
        <w:tc>
          <w:tcPr>
            <w:tcW w:type="dxa" w:w="4929"/>
          </w:tcPr>
          <w:p>
            <w:r>
              <w:t>US$ 0,07</w:t>
            </w:r>
          </w:p>
        </w:tc>
      </w:tr>
    </w:tbl>
    <w:p/>
    <w:p>
      <w:pPr>
        <w:pStyle w:val="Heading1"/>
      </w:pPr>
      <w:r>
        <w:t>1. Objetivo e contexto</w:t>
      </w:r>
    </w:p>
    <w:p>
      <w:pPr>
        <w:jc w:val="both"/>
      </w:pPr>
      <w:r>
        <w:t>O desafio simula uma instituição financeira que precisa decidir como contratar, capacitar e reter profissionais de Dados e IA. O projeto transforma dados públicos de pesquisa em evidências para decisões sobre perfis profissionais, remuneração, diversidade, tecnologias, IA generativa, trabalho remoto e prioridades de gestão.</w:t>
      </w:r>
    </w:p>
    <w:p>
      <w:pPr>
        <w:pStyle w:val="Heading2"/>
      </w:pPr>
      <w:r>
        <w:t>1.1 Perguntas de negócio</w:t>
      </w:r>
    </w:p>
    <w:p>
      <w:pPr>
        <w:pStyle w:val="ListBullet"/>
      </w:pPr>
      <w:r>
        <w:t>Quais cargos e perfis concentram o mercado e quais são mais valorizados?</w:t>
      </w:r>
    </w:p>
    <w:p>
      <w:pPr>
        <w:pStyle w:val="ListBullet"/>
      </w:pPr>
      <w:r>
        <w:t>Como remuneração e diversidade variam por senioridade, gênero e região?</w:t>
      </w:r>
    </w:p>
    <w:p>
      <w:pPr>
        <w:pStyle w:val="ListBullet"/>
      </w:pPr>
      <w:r>
        <w:t>Quais tecnologias, bancos de dados e provedores de nuvem predominam?</w:t>
      </w:r>
    </w:p>
    <w:p>
      <w:pPr>
        <w:pStyle w:val="ListBullet"/>
      </w:pPr>
      <w:r>
        <w:t>Como evoluíram a adoção de IA generativa e as prioridades das empresas?</w:t>
      </w:r>
    </w:p>
    <w:p>
      <w:pPr>
        <w:pStyle w:val="ListBullet"/>
      </w:pPr>
      <w:r>
        <w:t>Quais modelos de trabalho, critérios de escolha e desafios de liderança orientam a estratégia de pessoas?</w:t>
      </w:r>
    </w:p>
    <w:p>
      <w:pPr>
        <w:pStyle w:val="Heading1"/>
      </w:pPr>
      <w:r>
        <w:t>2. Dados e escopo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17365D"/>
          </w:tcPr>
          <w:p>
            <w:r>
              <w:rPr>
                <w:b/>
                <w:color w:val="FFFFFF"/>
              </w:rPr>
              <w:t>Edição</w:t>
            </w:r>
          </w:p>
        </w:tc>
        <w:tc>
          <w:tcPr>
            <w:tcW w:type="dxa" w:w="2464"/>
            <w:shd w:fill="17365D"/>
          </w:tcPr>
          <w:p>
            <w:r>
              <w:rPr>
                <w:b/>
                <w:color w:val="FFFFFF"/>
              </w:rPr>
              <w:t>Respondentes</w:t>
            </w:r>
          </w:p>
        </w:tc>
        <w:tc>
          <w:tcPr>
            <w:tcW w:type="dxa" w:w="2464"/>
            <w:shd w:fill="17365D"/>
          </w:tcPr>
          <w:p>
            <w:r>
              <w:rPr>
                <w:b/>
                <w:color w:val="FFFFFF"/>
              </w:rPr>
              <w:t>Colunas</w:t>
            </w:r>
          </w:p>
        </w:tc>
        <w:tc>
          <w:tcPr>
            <w:tcW w:type="dxa" w:w="2464"/>
            <w:shd w:fill="17365D"/>
          </w:tcPr>
          <w:p>
            <w:r>
              <w:rPr>
                <w:b/>
                <w:color w:val="FFFFFF"/>
              </w:rPr>
              <w:t>Fonte</w:t>
            </w:r>
          </w:p>
        </w:tc>
      </w:tr>
      <w:tr>
        <w:tc>
          <w:tcPr>
            <w:tcW w:type="dxa" w:w="2464"/>
          </w:tcPr>
          <w:p>
            <w:r>
              <w:t>2023-2024</w:t>
            </w:r>
          </w:p>
        </w:tc>
        <w:tc>
          <w:tcPr>
            <w:tcW w:type="dxa" w:w="2464"/>
          </w:tcPr>
          <w:p>
            <w:r>
              <w:t>5.293</w:t>
            </w:r>
          </w:p>
        </w:tc>
        <w:tc>
          <w:tcPr>
            <w:tcW w:type="dxa" w:w="2464"/>
          </w:tcPr>
          <w:p>
            <w:r>
              <w:t>399</w:t>
            </w:r>
          </w:p>
        </w:tc>
        <w:tc>
          <w:tcPr>
            <w:tcW w:type="dxa" w:w="2464"/>
          </w:tcPr>
          <w:p>
            <w:r>
              <w:t>Data Hackers / Kaggle</w:t>
            </w:r>
          </w:p>
        </w:tc>
      </w:tr>
      <w:tr>
        <w:tc>
          <w:tcPr>
            <w:tcW w:type="dxa" w:w="2464"/>
            <w:shd w:fill="F3F4F6"/>
          </w:tcPr>
          <w:p>
            <w:r>
              <w:t>2024-2025</w:t>
            </w:r>
          </w:p>
        </w:tc>
        <w:tc>
          <w:tcPr>
            <w:tcW w:type="dxa" w:w="2464"/>
            <w:shd w:fill="F3F4F6"/>
          </w:tcPr>
          <w:p>
            <w:r>
              <w:t>5.217</w:t>
            </w:r>
          </w:p>
        </w:tc>
        <w:tc>
          <w:tcPr>
            <w:tcW w:type="dxa" w:w="2464"/>
            <w:shd w:fill="F3F4F6"/>
          </w:tcPr>
          <w:p>
            <w:r>
              <w:t>403</w:t>
            </w:r>
          </w:p>
        </w:tc>
        <w:tc>
          <w:tcPr>
            <w:tcW w:type="dxa" w:w="2464"/>
            <w:shd w:fill="F3F4F6"/>
          </w:tcPr>
          <w:p>
            <w:r>
              <w:t>Data Hackers / Kaggle</w:t>
            </w:r>
          </w:p>
        </w:tc>
      </w:tr>
      <w:tr>
        <w:tc>
          <w:tcPr>
            <w:tcW w:type="dxa" w:w="2464"/>
          </w:tcPr>
          <w:p>
            <w:r>
              <w:t>2025-2026</w:t>
            </w:r>
          </w:p>
        </w:tc>
        <w:tc>
          <w:tcPr>
            <w:tcW w:type="dxa" w:w="2464"/>
          </w:tcPr>
          <w:p>
            <w:r>
              <w:t>3.495</w:t>
            </w:r>
          </w:p>
        </w:tc>
        <w:tc>
          <w:tcPr>
            <w:tcW w:type="dxa" w:w="2464"/>
          </w:tcPr>
          <w:p>
            <w:r>
              <w:t>388</w:t>
            </w:r>
          </w:p>
        </w:tc>
        <w:tc>
          <w:tcPr>
            <w:tcW w:type="dxa" w:w="2464"/>
          </w:tcPr>
          <w:p>
            <w:r>
              <w:t>Data Hackers / Kaggle</w:t>
            </w:r>
          </w:p>
        </w:tc>
      </w:tr>
      <w:tr>
        <w:tc>
          <w:tcPr>
            <w:tcW w:type="dxa" w:w="2464"/>
            <w:shd w:fill="F3F4F6"/>
          </w:tcPr>
          <w:p>
            <w:r>
              <w:t>Total</w:t>
            </w:r>
          </w:p>
        </w:tc>
        <w:tc>
          <w:tcPr>
            <w:tcW w:type="dxa" w:w="2464"/>
            <w:shd w:fill="F3F4F6"/>
          </w:tcPr>
          <w:p>
            <w:r>
              <w:t>14.005</w:t>
            </w:r>
          </w:p>
        </w:tc>
        <w:tc>
          <w:tcPr>
            <w:tcW w:type="dxa" w:w="2464"/>
            <w:shd w:fill="F3F4F6"/>
          </w:tcPr>
          <w:p>
            <w:r>
              <w:t>—</w:t>
            </w:r>
          </w:p>
        </w:tc>
        <w:tc>
          <w:tcPr>
            <w:tcW w:type="dxa" w:w="2464"/>
            <w:shd w:fill="F3F4F6"/>
          </w:tcPr>
          <w:p>
            <w:r>
              <w:t>Três edições</w:t>
            </w:r>
          </w:p>
        </w:tc>
      </w:tr>
    </w:tbl>
    <w:p/>
    <w:p>
      <w:pPr>
        <w:jc w:val="both"/>
      </w:pPr>
      <w:r>
        <w:t>Os arquivos originais são preservados na camada Bronze. Os dados brutos não são versionados no repositório, tanto pelo tamanho quanto pela licença de distribuição; o README documenta os três datasets e os nomes esperados para reprodução. A inspeção de 71 colunas textuais não encontrou e-mails, CPFs ou telefones; o único identificador presente é um hash aleatório fornecido pela própria pesquisa.</w:t>
      </w:r>
    </w:p>
    <w:p>
      <w:pPr>
        <w:pStyle w:val="Heading1"/>
      </w:pPr>
      <w:r>
        <w:t>3. Arquitetura da solução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244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sod_fas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4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Arquitetura Medallion implementada na AWS</w:t>
      </w:r>
    </w:p>
    <w:p>
      <w:pPr>
        <w:jc w:val="both"/>
      </w:pPr>
      <w:r>
        <w:t>A arquitetura segue o padrão Medallion. A camada Bronze mantém cópias fiéis dos CSVs; a Silver sanitiza nomes, normaliza categorias e harmoniza as edições em Parquet particionado; a Gold contém agregações orientadas às perguntas de negócio. O AWS Glue Data Catalog registra as tabelas e o Amazon Athena fornece acesso SQL. Gráficos e material executivo consomem somente a Gold.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17365D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3286"/>
            <w:shd w:fill="17365D"/>
          </w:tcPr>
          <w:p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3286"/>
            <w:shd w:fill="17365D"/>
          </w:tcPr>
          <w:p>
            <w:r>
              <w:rPr>
                <w:b/>
                <w:color w:val="FFFFFF"/>
              </w:rPr>
              <w:t>Formato e organização</w:t>
            </w:r>
          </w:p>
        </w:tc>
      </w:tr>
      <w:tr>
        <w:tc>
          <w:tcPr>
            <w:tcW w:type="dxa" w:w="3286"/>
          </w:tcPr>
          <w:p>
            <w:r>
              <w:t>Bronze</w:t>
            </w:r>
          </w:p>
        </w:tc>
        <w:tc>
          <w:tcPr>
            <w:tcW w:type="dxa" w:w="3286"/>
          </w:tcPr>
          <w:p>
            <w:r>
              <w:t>Preservação dos dados de origem</w:t>
            </w:r>
          </w:p>
        </w:tc>
        <w:tc>
          <w:tcPr>
            <w:tcW w:type="dxa" w:w="3286"/>
          </w:tcPr>
          <w:p>
            <w:r>
              <w:t>CSV, particionado por edição</w:t>
            </w:r>
          </w:p>
        </w:tc>
      </w:tr>
      <w:tr>
        <w:tc>
          <w:tcPr>
            <w:tcW w:type="dxa" w:w="3286"/>
            <w:shd w:fill="F3F4F6"/>
          </w:tcPr>
          <w:p>
            <w:r>
              <w:t>Silver</w:t>
            </w:r>
          </w:p>
        </w:tc>
        <w:tc>
          <w:tcPr>
            <w:tcW w:type="dxa" w:w="3286"/>
            <w:shd w:fill="F3F4F6"/>
          </w:tcPr>
          <w:p>
            <w:r>
              <w:t>Limpeza, tipagem e harmonização</w:t>
            </w:r>
          </w:p>
        </w:tc>
        <w:tc>
          <w:tcPr>
            <w:tcW w:type="dxa" w:w="3286"/>
            <w:shd w:fill="F3F4F6"/>
          </w:tcPr>
          <w:p>
            <w:r>
              <w:t>Parquet Snappy, particionado por edição</w:t>
            </w:r>
          </w:p>
        </w:tc>
      </w:tr>
      <w:tr>
        <w:tc>
          <w:tcPr>
            <w:tcW w:type="dxa" w:w="3286"/>
          </w:tcPr>
          <w:p>
            <w:r>
              <w:t>Gold</w:t>
            </w:r>
          </w:p>
        </w:tc>
        <w:tc>
          <w:tcPr>
            <w:tcW w:type="dxa" w:w="3286"/>
          </w:tcPr>
          <w:p>
            <w:r>
              <w:t>Indicadores e recortes de negócio</w:t>
            </w:r>
          </w:p>
        </w:tc>
        <w:tc>
          <w:tcPr>
            <w:tcW w:type="dxa" w:w="3286"/>
          </w:tcPr>
          <w:p>
            <w:r>
              <w:t>Parquet agregado por domínio</w:t>
            </w:r>
          </w:p>
        </w:tc>
      </w:tr>
      <w:tr>
        <w:tc>
          <w:tcPr>
            <w:tcW w:type="dxa" w:w="3286"/>
            <w:shd w:fill="F3F4F6"/>
          </w:tcPr>
          <w:p>
            <w:r>
              <w:t>Catálogo e consulta</w:t>
            </w:r>
          </w:p>
        </w:tc>
        <w:tc>
          <w:tcPr>
            <w:tcW w:type="dxa" w:w="3286"/>
            <w:shd w:fill="F3F4F6"/>
          </w:tcPr>
          <w:p>
            <w:r>
              <w:t>Descoberta e SQL</w:t>
            </w:r>
          </w:p>
        </w:tc>
        <w:tc>
          <w:tcPr>
            <w:tcW w:type="dxa" w:w="3286"/>
            <w:shd w:fill="F3F4F6"/>
          </w:tcPr>
          <w:p>
            <w:r>
              <w:t>Glue Data Catalog e Athena</w:t>
            </w:r>
          </w:p>
        </w:tc>
      </w:tr>
    </w:tbl>
    <w:p/>
    <w:p>
      <w:pPr>
        <w:pStyle w:val="Heading2"/>
      </w:pPr>
      <w:r>
        <w:t>3.1 Componentes e execução</w:t>
      </w:r>
    </w:p>
    <w:p>
      <w:pPr>
        <w:pStyle w:val="ListBullet"/>
      </w:pPr>
      <w:r>
        <w:t>Amazon S3 privado para as camadas Bronze, Silver, Gold e resultados do Athena.</w:t>
      </w:r>
    </w:p>
    <w:p>
      <w:pPr>
        <w:pStyle w:val="ListBullet"/>
      </w:pPr>
      <w:r>
        <w:t>AWS Glue 5.0 com Apache Spark 3.5.4 em dois jobs PySpark.</w:t>
      </w:r>
    </w:p>
    <w:p>
      <w:pPr>
        <w:pStyle w:val="ListBullet"/>
      </w:pPr>
      <w:r>
        <w:t>AWS Glue Data Catalog com 11 tabelas: três Silver e oito Gold.</w:t>
      </w:r>
    </w:p>
    <w:p>
      <w:pPr>
        <w:pStyle w:val="ListBullet"/>
      </w:pPr>
      <w:r>
        <w:t>Amazon Athena para as 16 consultas analíticas versionadas.</w:t>
      </w:r>
    </w:p>
    <w:p>
      <w:pPr>
        <w:pStyle w:val="ListBullet"/>
      </w:pPr>
      <w:r>
        <w:t>Python, pandas, matplotlib e python-pptx para validação e produtos de consumo.</w:t>
      </w:r>
    </w:p>
    <w:p>
      <w:pPr>
        <w:pStyle w:val="Heading1"/>
      </w:pPr>
      <w:r>
        <w:t>4. Pipeline de dados</w:t>
      </w:r>
    </w:p>
    <w:p>
      <w:pPr>
        <w:pStyle w:val="Heading2"/>
      </w:pPr>
      <w:r>
        <w:t>4.1 Bronze: ingestão e preservação</w:t>
      </w:r>
    </w:p>
    <w:p>
      <w:pPr>
        <w:jc w:val="both"/>
      </w:pPr>
      <w:r>
        <w:t>A ingestão valida a presença dos três arquivos e suas contagens esperadas antes do envio ao S3. Os objetos são organizados por edição e mantidos sem transformação para permitir rastreabilidade até a fonte. A execução registrada contém três objetos e 39,93 MB na Bronze.</w:t>
      </w:r>
    </w:p>
    <w:p>
      <w:pPr>
        <w:pStyle w:val="Heading2"/>
      </w:pPr>
      <w:r>
        <w:t>4.2 Silver: limpeza e harmonização</w:t>
      </w:r>
    </w:p>
    <w:p>
      <w:pPr>
        <w:jc w:val="both"/>
      </w:pPr>
      <w:r>
        <w:t>A Silver é o núcleo do projeto. Todas as 388 colunas da edição 2025-2026 exigiam sanitização para compatibilidade com Athena. O pipeline também trata strings sentinela como NA, NULL e N/A; corrige dois erros de digitação nas faixas salariais; preserva nulos estruturais; deriva regiões e estimativas salariais; e transforma perguntas de múltipla escolha pelas colunas booleanas originais.</w:t>
      </w:r>
    </w:p>
    <w:p>
      <w:pPr>
        <w:jc w:val="both"/>
      </w:pPr>
      <w:r>
        <w:t>A união das edições é semântica, não baseada apenas no código da pergunta. O mapeamento manual contém 41 dimensões canônicas e registra os deslocamentos identificados. Perguntas cuja natureza mudou, como linguagem preferida em 2025-2026, não são apresentadas como séries diretamente comparáveis.</w:t>
      </w:r>
    </w:p>
    <w:p>
      <w:pPr>
        <w:pStyle w:val="Heading2"/>
      </w:pPr>
      <w:r>
        <w:t>4.3 Gold: indicadores de negócio</w:t>
      </w:r>
    </w:p>
    <w:p>
      <w:pPr>
        <w:jc w:val="both"/>
      </w:pPr>
      <w:r>
        <w:t>A Gold materializa oito tabelas analíticas: perfil de mercado, salário médio, diversidade, tecnologias, adoção de IA, recortes comparativos, oportunidades e desafios, além de uma tabela auxiliar de faixas salariais. Cada agregação registra quantidade, percentual, respondentes válidos e taxa de resposta quando aplicável. Recortes com menos de 30 observações recebem a marcação fragil.</w:t>
      </w:r>
    </w:p>
    <w:p>
      <w:pPr>
        <w:pStyle w:val="Heading1"/>
      </w:pPr>
      <w:r>
        <w:t>5. Qualidade, validação e rastreabilidade</w:t>
      </w:r>
    </w:p>
    <w:p>
      <w:pPr>
        <w:pStyle w:val="ListBullet"/>
      </w:pPr>
      <w:r>
        <w:t>Gate de mapeamento: confirma a resolução das 41 dimensões e exibe os rótulos das três edições lado a lado.</w:t>
      </w:r>
    </w:p>
    <w:p>
      <w:pPr>
        <w:pStyle w:val="ListBullet"/>
      </w:pPr>
      <w:r>
        <w:t>Integridade: valida 5.293, 5.217 e 3.495 linhas antes e depois das transformações.</w:t>
      </w:r>
    </w:p>
    <w:p>
      <w:pPr>
        <w:pStyle w:val="ListBullet"/>
      </w:pPr>
      <w:r>
        <w:t>Contrato de esquema: exige nomes compatíveis com Athena e 13 faixas salariais canônicas.</w:t>
      </w:r>
    </w:p>
    <w:p>
      <w:pPr>
        <w:pStyle w:val="ListBullet"/>
      </w:pPr>
      <w:r>
        <w:t>Conferência cruzada: recalcula 12 dimensões diretamente dos CSVs com pandas e compara com a Silver Spark.</w:t>
      </w:r>
    </w:p>
    <w:p>
      <w:pPr>
        <w:pStyle w:val="ListBullet"/>
      </w:pPr>
      <w:r>
        <w:t>Catálogo: valida a leitura das 11 tabelas no Athena.</w:t>
      </w:r>
    </w:p>
    <w:p>
      <w:pPr>
        <w:pStyle w:val="ListBullet"/>
      </w:pPr>
      <w:r>
        <w:t>Consultas: registra estado, tempo, bytes escaneados, colunas e amostras de resultado das 16 consultas.</w:t>
      </w:r>
    </w:p>
    <w:p>
      <w:pPr>
        <w:jc w:val="both"/>
      </w:pPr>
      <w:r>
        <w:t>Essas verificações cobrem tanto integridade quanto correção semântica. A conferência independente é essencial porque um pipeline pode preservar contagens e tipos e, ainda assim, associar respostas à pergunta errada. O princípio adotado é falhar explicitamente em vez de degradar silenciosamente.</w:t>
      </w:r>
    </w:p>
    <w:p>
      <w:pPr>
        <w:pStyle w:val="Heading1"/>
      </w:pPr>
      <w:r>
        <w:t>6. Resultados analíticos</w:t>
      </w:r>
    </w:p>
    <w:p>
      <w:pPr>
        <w:pStyle w:val="Heading2"/>
      </w:pPr>
      <w:r>
        <w:t>6.1 Perfil e remuneração</w:t>
      </w:r>
    </w:p>
    <w:p>
      <w:pPr>
        <w:jc w:val="both"/>
      </w:pPr>
      <w:r>
        <w:t>Em 2025-2026, Analista de Dados representa 23,95% dos 2.501 respondentes válidos, seguido por Cientista de Dados, com 16,95%, e Engenheiro de Dados, com 16,07%. Finanças e Bancos é o maior setor empregador, com 18,53%, o que reforça a aderência do estudo ao cliente fictício.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7705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erfil_merc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70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Perfil do mercado de Dados na edição mais recente</w:t>
      </w:r>
    </w:p>
    <w:p>
      <w:pPr>
        <w:jc w:val="both"/>
      </w:pPr>
      <w:r>
        <w:t>A remuneração média estimada em 2025-2026 é de R$ 4.153 para Júnior, R$ 8.314 para Pleno, R$ 14.622 para Sênior e R$ 20.373 para Especialista/Staff+. Engenheiro de Machine Learning aparece entre os cargos mais bem remunerados, com média estimada de R$ 19.600.</w:t>
      </w:r>
    </w:p>
    <w:p>
      <w:pPr>
        <w:jc w:val="both"/>
      </w:pPr>
      <w:r>
        <w:t>Ressalva indispensável: os salários são valores nominais e não foram corrigidos pela inflação. Entre 2023-2024 e 2025-2026, as variações nominais estimadas foram de aproximadamente 6,2% para Júnior, 10,2% para Pleno e 6,3% para Sênior. Esses percentuais não devem ser interpretados como ganho real de poder de compra sem a aplicação de um índice de preços e de períodos de referência compatíveis.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171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muneracao_seniorid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17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Remuneração nominal estimada por senioridade</w:t>
      </w:r>
    </w:p>
    <w:p>
      <w:pPr>
        <w:pStyle w:val="Heading2"/>
      </w:pPr>
      <w:r>
        <w:t>6.2 Diversidade</w:t>
      </w:r>
    </w:p>
    <w:p>
      <w:pPr>
        <w:jc w:val="both"/>
      </w:pPr>
      <w:r>
        <w:t>A participação feminina cai de 24,43% para 21,97% nas três edições. Na edição mais recente, o recorte por senioridade mostra 28,19% no nível Júnior e 20,06% em Especialista/Staff+. A diferença salarial observada é de 20,2%, com médias estimadas de R$ 11.198 para mulheres e R$ 14.036 para homens.</w:t>
      </w:r>
    </w:p>
    <w:p>
      <w:pPr>
        <w:jc w:val="both"/>
      </w:pPr>
      <w:r>
        <w:t>O gap é descritivo e não controla cargo, senioridade, experiência, região ou setor. Portanto, ele não mede discriminação entre pessoas em posições equivalentes; indica uma desigualdade agregada que merece investigação multivariada.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2898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versidade_seniorida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Participação feminina e diferença salarial observada</w:t>
      </w:r>
    </w:p>
    <w:p>
      <w:pPr>
        <w:pStyle w:val="Heading2"/>
      </w:pPr>
      <w:r>
        <w:t>6.3 Tecnologias e inteligência artificial</w:t>
      </w:r>
    </w:p>
    <w:p>
      <w:pPr>
        <w:jc w:val="both"/>
      </w:pPr>
      <w:r>
        <w:t>A adoção declarada de AWS cresce de 30,61% para 48,28% nas três edições e ultrapassa Azure em 2024-2025. Em 2025-2026, PostgreSQL, com 36,78%, SQL Server, com 33,49%, Databricks, com 32,87%, e Amazon S3, com 28,82%, se destacam entre bancos e plataformas. Como são perguntas de múltipla escolha, as proporções não devem somar 100%.</w:t>
      </w:r>
    </w:p>
    <w:p>
      <w:pPr>
        <w:jc w:val="both"/>
      </w:pPr>
      <w:r>
        <w:t>Entre 2.106 respondentes válidos para uso de IA generativa em 2025-2026, 42,36% utilizam ferramentas pagas pela empresa, 30,53% usam opções gratuitas e 29,82% usam Copilot. Apenas 2,09% declaram não usar IA generativa, contra 19,72% em 2023-2024. A pergunta sobre prioridade de IA foi respondida por 652 gestores, equivalentes a 18,66% da amostra da edição; esse denominador limita a generalização.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882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cnologias_clou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8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Evolução das tecnologias e plataformas declaradas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3591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ocao_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5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Evolução da adoção de IA generativa</w:t>
      </w:r>
    </w:p>
    <w:p>
      <w:pPr>
        <w:pStyle w:val="Heading2"/>
      </w:pPr>
      <w:r>
        <w:t>6.4 Trabalho, região e oportunidades</w:t>
      </w:r>
    </w:p>
    <w:p>
      <w:pPr>
        <w:jc w:val="both"/>
      </w:pPr>
      <w:r>
        <w:t>Na edição 2025-2026, 20,76% trabalham presencialmente, mas apenas 1,86% desejam esse modelo. O híbrido flexível é a preferência de 42,97%. Remuneração, com 83,21%, flexibilidade remota, com 56,60%, e plano de carreira, com 32,34%, são os principais critérios de escolha profissional.</w:t>
      </w:r>
    </w:p>
    <w:p>
      <w:pPr>
        <w:jc w:val="both"/>
      </w:pPr>
      <w:r>
        <w:t>O Nordeste apresenta remuneração média estimada 23,8% inferior à do Sudeste: R$ 10.437 contra R$ 13.696. O Norte possui amostra muito pequena, com 48 respondentes na edição e 36 no corte salarial; seus resultados devem ser tratados como indicativos.</w:t>
      </w:r>
    </w:p>
    <w:p>
      <w:pPr>
        <w:pStyle w:val="Heading1"/>
      </w:pPr>
      <w:r>
        <w:t>7. Premissas metodológicas</w:t>
      </w:r>
    </w:p>
    <w:p>
      <w:pPr>
        <w:pStyle w:val="ListBullet"/>
      </w:pPr>
      <w:r>
        <w:t>As edições 2023-2024, 2024-2025 e 2025-2026 foram tratadas como as três mais recentes disponíveis.</w:t>
      </w:r>
    </w:p>
    <w:p>
      <w:pPr>
        <w:pStyle w:val="ListBullet"/>
      </w:pPr>
      <w:r>
        <w:t>A Silver seleciona 41 dimensões curadas relevantes ao problema, e não todas as aproximadamente 400 colunas.</w:t>
      </w:r>
    </w:p>
    <w:p>
      <w:pPr>
        <w:pStyle w:val="ListBullet"/>
      </w:pPr>
      <w:r>
        <w:t>O denominador de cada métrica é o número de pessoas que respondeu à pergunta, nunca a base total por padrão.</w:t>
      </w:r>
    </w:p>
    <w:p>
      <w:pPr>
        <w:pStyle w:val="ListBullet"/>
      </w:pPr>
      <w:r>
        <w:t>Salário é estimado pelo ponto médio da faixa declarada; a faixa aberta acima de R$ 40.001 usa R$ 50.000.</w:t>
      </w:r>
    </w:p>
    <w:p>
      <w:pPr>
        <w:pStyle w:val="ListBullet"/>
      </w:pPr>
      <w:r>
        <w:t>Especialista/Staff+ é preservado como categoria exclusiva de 2025-2026, sem reclassificação retroativa.</w:t>
      </w:r>
    </w:p>
    <w:p>
      <w:pPr>
        <w:pStyle w:val="ListBullet"/>
      </w:pPr>
      <w:r>
        <w:t>Recortes com menos de 30 observações são marcados como frágeis e omitidos dos gráficos quando necessário.</w:t>
      </w:r>
    </w:p>
    <w:p>
      <w:pPr>
        <w:pStyle w:val="ListBullet"/>
      </w:pPr>
      <w:r>
        <w:t>Glue 5.0 com dois workers G.1X foi escolhido por ser suficiente para o pequeno volume e minimizar custo.</w:t>
      </w:r>
    </w:p>
    <w:p>
      <w:pPr>
        <w:pStyle w:val="ListBullet"/>
      </w:pPr>
      <w:r>
        <w:t>Perguntas de múltipla escolha usam as colunas booleanas explodidas da origem, sem separar texto por vírgula.</w:t>
      </w:r>
    </w:p>
    <w:p>
      <w:pPr>
        <w:pStyle w:val="Heading1"/>
      </w:pPr>
      <w:r>
        <w:t>8. Vieses e limitações</w:t>
      </w:r>
    </w:p>
    <w:p>
      <w:pPr>
        <w:pStyle w:val="ListBullet"/>
      </w:pPr>
      <w:r>
        <w:t>Autosseleção: a pesquisa é voluntária e não constitui amostra probabilística do mercado brasileiro.</w:t>
      </w:r>
    </w:p>
    <w:p>
      <w:pPr>
        <w:pStyle w:val="ListBullet"/>
      </w:pPr>
      <w:r>
        <w:t>Composição variável: a última edição possui 34% menos respondentes que 2023-2024; mudanças podem refletir a amostra.</w:t>
      </w:r>
    </w:p>
    <w:p>
      <w:pPr>
        <w:pStyle w:val="ListBullet"/>
      </w:pPr>
      <w:r>
        <w:t>Concentração geográfica: 62% da amostra mais recente está no Sudeste.</w:t>
      </w:r>
    </w:p>
    <w:p>
      <w:pPr>
        <w:pStyle w:val="ListBullet"/>
      </w:pPr>
      <w:r>
        <w:t>Salários nominais: não foi aplicada correção inflacionária, logo a série não mede variação real de poder de compra.</w:t>
      </w:r>
    </w:p>
    <w:p>
      <w:pPr>
        <w:pStyle w:val="ListBullet"/>
      </w:pPr>
      <w:r>
        <w:t>Estimativa por faixa: pontos médios reduzem a precisão individual e a faixa salarial superior exige arbitragem.</w:t>
      </w:r>
    </w:p>
    <w:p>
      <w:pPr>
        <w:pStyle w:val="ListBullet"/>
      </w:pPr>
      <w:r>
        <w:t>Gap de gênero não ajustado: a diferença observada não controla cargo, senioridade, experiência, setor ou região.</w:t>
      </w:r>
    </w:p>
    <w:p>
      <w:pPr>
        <w:pStyle w:val="ListBullet"/>
      </w:pPr>
      <w:r>
        <w:t>Questionário condicional: algumas métricas possuem baixa taxa de resposta, especialmente a seção de gestores.</w:t>
      </w:r>
    </w:p>
    <w:p>
      <w:pPr>
        <w:pStyle w:val="ListBullet"/>
      </w:pPr>
      <w:r>
        <w:t>Amostras pequenas: recortes como Norte podem produzir estimativas instáveis.</w:t>
      </w:r>
    </w:p>
    <w:p>
      <w:pPr>
        <w:pStyle w:val="ListBullet"/>
      </w:pPr>
      <w:r>
        <w:t>Múltipla escolha: percentuais de tecnologias e IA podem somar mais de 100%.</w:t>
      </w:r>
    </w:p>
    <w:p>
      <w:pPr>
        <w:pStyle w:val="ListBullet"/>
      </w:pPr>
      <w:r>
        <w:t>Mudanças no questionário: determinadas dimensões não são comparáveis ou possuem quebra de série.</w:t>
      </w:r>
    </w:p>
    <w:p>
      <w:pPr>
        <w:pStyle w:val="Heading1"/>
      </w:pPr>
      <w:r>
        <w:t>9. Segurança, privacidade e custo</w:t>
      </w:r>
    </w:p>
    <w:p>
      <w:pPr>
        <w:jc w:val="both"/>
      </w:pPr>
      <w:r>
        <w:t>O bucket S3 usa as quatro configurações de bloqueio de acesso público e criptografia SSE-S3. A função IAM dos jobs é limitada ao bucket do projeto. Nenhum endpoint público é criado. O identificador da conta é resolvido em tempo de execução e aparece mascarado nas evidências versionadas.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7365D"/>
          </w:tcPr>
          <w:p>
            <w:r>
              <w:rPr>
                <w:b/>
                <w:color w:val="FFFFFF"/>
              </w:rPr>
              <w:t>Evidência</w:t>
            </w:r>
          </w:p>
        </w:tc>
        <w:tc>
          <w:tcPr>
            <w:tcW w:type="dxa" w:w="4929"/>
            <w:shd w:fill="17365D"/>
          </w:tcPr>
          <w:p>
            <w:r>
              <w:rPr>
                <w:b/>
                <w:color w:val="FFFFFF"/>
              </w:rPr>
              <w:t>Resultado medido</w:t>
            </w:r>
          </w:p>
        </w:tc>
      </w:tr>
      <w:tr>
        <w:tc>
          <w:tcPr>
            <w:tcW w:type="dxa" w:w="4929"/>
          </w:tcPr>
          <w:p>
            <w:r>
              <w:t>Glue Job Bronze → Silver</w:t>
            </w:r>
          </w:p>
        </w:tc>
        <w:tc>
          <w:tcPr>
            <w:tcW w:type="dxa" w:w="4929"/>
          </w:tcPr>
          <w:p>
            <w:r>
              <w:t>SUCCEEDED, 130 segundos</w:t>
            </w:r>
          </w:p>
        </w:tc>
      </w:tr>
      <w:tr>
        <w:tc>
          <w:tcPr>
            <w:tcW w:type="dxa" w:w="4929"/>
            <w:shd w:fill="F3F4F6"/>
          </w:tcPr>
          <w:p>
            <w:r>
              <w:t>Glue Job Silver → Gold</w:t>
            </w:r>
          </w:p>
        </w:tc>
        <w:tc>
          <w:tcPr>
            <w:tcW w:type="dxa" w:w="4929"/>
            <w:shd w:fill="F3F4F6"/>
          </w:tcPr>
          <w:p>
            <w:r>
              <w:t>SUCCEEDED, 138 segundos</w:t>
            </w:r>
          </w:p>
        </w:tc>
      </w:tr>
      <w:tr>
        <w:tc>
          <w:tcPr>
            <w:tcW w:type="dxa" w:w="4929"/>
          </w:tcPr>
          <w:p>
            <w:r>
              <w:t>Consumo Glue</w:t>
            </w:r>
          </w:p>
        </w:tc>
        <w:tc>
          <w:tcPr>
            <w:tcW w:type="dxa" w:w="4929"/>
          </w:tcPr>
          <w:p>
            <w:r>
              <w:t>537 DPU-segundos</w:t>
            </w:r>
          </w:p>
        </w:tc>
      </w:tr>
      <w:tr>
        <w:tc>
          <w:tcPr>
            <w:tcW w:type="dxa" w:w="4929"/>
            <w:shd w:fill="F3F4F6"/>
          </w:tcPr>
          <w:p>
            <w:r>
              <w:t>Camadas</w:t>
            </w:r>
          </w:p>
        </w:tc>
        <w:tc>
          <w:tcPr>
            <w:tcW w:type="dxa" w:w="4929"/>
            <w:shd w:fill="F3F4F6"/>
          </w:tcPr>
          <w:p>
            <w:r>
              <w:t>113 objetos, 48,66 MB</w:t>
            </w:r>
          </w:p>
        </w:tc>
      </w:tr>
      <w:tr>
        <w:tc>
          <w:tcPr>
            <w:tcW w:type="dxa" w:w="4929"/>
          </w:tcPr>
          <w:p>
            <w:r>
              <w:t>Athena</w:t>
            </w:r>
          </w:p>
        </w:tc>
        <w:tc>
          <w:tcPr>
            <w:tcW w:type="dxa" w:w="4929"/>
          </w:tcPr>
          <w:p>
            <w:r>
              <w:t>16 consultas, 0,02 MB escaneados</w:t>
            </w:r>
          </w:p>
        </w:tc>
      </w:tr>
      <w:tr>
        <w:tc>
          <w:tcPr>
            <w:tcW w:type="dxa" w:w="4929"/>
            <w:shd w:fill="F3F4F6"/>
          </w:tcPr>
          <w:p>
            <w:r>
              <w:t>Custo total medido</w:t>
            </w:r>
          </w:p>
        </w:tc>
        <w:tc>
          <w:tcPr>
            <w:tcW w:type="dxa" w:w="4929"/>
            <w:shd w:fill="F3F4F6"/>
          </w:tcPr>
          <w:p>
            <w:r>
              <w:t>US$ 0,07</w:t>
            </w:r>
          </w:p>
        </w:tc>
      </w:tr>
    </w:tbl>
    <w:p/>
    <w:p>
      <w:pPr>
        <w:pStyle w:val="Heading1"/>
      </w:pPr>
      <w:r>
        <w:t>10. Evidências da execução AWS</w:t>
      </w:r>
    </w:p>
    <w:p>
      <w:pPr>
        <w:jc w:val="both"/>
      </w:pPr>
      <w:r>
        <w:t>A execução real está documentada em output/evidencias/execucao_glue.json e output/evidencias/consultas_athena.json. Os arquivos registram status, duração, consumo, inventário das camadas e amostras dos resultados SQL sem expor o identificador da conta.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3293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3_camadas_medall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2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Amazon S3 — camadas Bronze, Silver e Gold, além dos resultados do Athena (bucket anonimizado).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4644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lue_jobs_sucess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64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AWS Glue — dois jobs ETL concluídos com sucesso, usando dois workers G.1X cada.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7134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lue_crawl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13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AWS Glue Crawler — duas execuções finais concluídas; a tentativa inicial foi corrigida durante a configuração dos alvos.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8776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lue_data_cat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7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Glue Data Catalog — 11 tabelas no banco sod_fase3: 3 Silver e 8 Gold (bucket anonimizado).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2865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thena_resultado_perf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86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Amazon Athena — consulta de perfil de mercado concluída, com percentual, denominador e taxa de resposta.</w:t>
      </w:r>
    </w:p>
    <w:p>
      <w:pPr>
        <w:pStyle w:val="Heading1"/>
      </w:pPr>
      <w:r>
        <w:t>11. Reprodutibilidade</w:t>
      </w:r>
    </w:p>
    <w:p>
      <w:pPr>
        <w:jc w:val="both"/>
      </w:pPr>
      <w:r>
        <w:t>O repositório contém scripts modulares, notebook executado, SQL versionado, diagrama editável, dependências fixadas e instruções de ambiente. O pipeline local espelha o AWS Glue 5.0 com PySpark 3.5.4, Python 3.10 ou 3.11 e Java 17. Os dados públicos devem ser baixados do Kaggle conforme o README.</w:t>
      </w:r>
    </w:p>
    <w:p>
      <w:pPr>
        <w:pStyle w:val="ListBullet"/>
      </w:pPr>
      <w:r>
        <w:t>Executar src.validar_mapeamento antes das transformações.</w:t>
      </w:r>
    </w:p>
    <w:p>
      <w:pPr>
        <w:pStyle w:val="ListBullet"/>
      </w:pPr>
      <w:r>
        <w:t>Executar Bronze → Silver e a conferência cruzada independente.</w:t>
      </w:r>
    </w:p>
    <w:p>
      <w:pPr>
        <w:pStyle w:val="ListBullet"/>
      </w:pPr>
      <w:r>
        <w:t>Executar Silver → Gold, gráficos, apresentação e este relatório.</w:t>
      </w:r>
    </w:p>
    <w:p>
      <w:pPr>
        <w:pStyle w:val="ListBullet"/>
      </w:pPr>
      <w:r>
        <w:t>Na AWS, provisionar recursos privados, ingerir Bronze, executar jobs, catalogar e consultar no Athena.</w:t>
      </w:r>
    </w:p>
    <w:p>
      <w:pPr>
        <w:pStyle w:val="ListBullet"/>
      </w:pPr>
      <w:r>
        <w:t>Conferir os artefatos finais e garantir ausência de dados brutos, credenciais e identificadores internos.</w:t>
      </w:r>
    </w:p>
    <w:p>
      <w:pPr>
        <w:pStyle w:val="Heading1"/>
      </w:pPr>
      <w:r>
        <w:t>12. Conclusões e recomendações</w:t>
      </w:r>
    </w:p>
    <w:p>
      <w:pPr>
        <w:jc w:val="both"/>
      </w:pPr>
      <w:r>
        <w:t>A solução demonstra uma cadeia completa de Engenharia de Dados: ingestão, armazenamento em camadas, processamento distribuído, qualidade, catálogo, SQL analítico e comunicação executiva. O valor central está na harmonização segura de questionários incompatíveis e na explicitação dos denominadores e das limitações de cada métrica.</w:t>
      </w:r>
    </w:p>
    <w:p>
      <w:pPr>
        <w:pStyle w:val="ListBullet"/>
      </w:pPr>
      <w:r>
        <w:t>Priorizar a formação interna de profissionais Júnior e Pleno, reduzindo dependência de contratações seniores disputadas.</w:t>
      </w:r>
    </w:p>
    <w:p>
      <w:pPr>
        <w:pStyle w:val="ListBullet"/>
      </w:pPr>
      <w:r>
        <w:t>Manter flexibilidade remota ou híbrida e trilhas claras de carreira para atração e retenção.</w:t>
      </w:r>
    </w:p>
    <w:p>
      <w:pPr>
        <w:pStyle w:val="ListBullet"/>
      </w:pPr>
      <w:r>
        <w:t>Tratar diversidade como indicador de gestão e aprofundar análises controladas por cargo e senioridade.</w:t>
      </w:r>
    </w:p>
    <w:p>
      <w:pPr>
        <w:pStyle w:val="ListBullet"/>
      </w:pPr>
      <w:r>
        <w:t>Investir em governança para IA generativa, pois a adoção já é ampla mesmo fora de contratos corporativos.</w:t>
      </w:r>
    </w:p>
    <w:p>
      <w:pPr>
        <w:pStyle w:val="ListBullet"/>
      </w:pPr>
      <w:r>
        <w:t>Atualizar o pipeline a cada nova edição, revisando semanticamente o questionário antes de qualquer união.</w:t>
      </w:r>
    </w:p>
    <w:p>
      <w:pPr>
        <w:pStyle w:val="ListBullet"/>
      </w:pPr>
      <w:r>
        <w:t>Aplicar um deflator oficial em análises futuras para separar crescimento salarial nominal e real.</w:t>
      </w:r>
    </w:p>
    <w:p>
      <w:pPr>
        <w:pStyle w:val="Heading1"/>
      </w:pPr>
      <w:r>
        <w:t>Referências</w:t>
      </w:r>
    </w:p>
    <w:p>
      <w:pPr>
        <w:pStyle w:val="ListBullet"/>
      </w:pPr>
      <w:r>
        <w:t>Data Hackers e Bain &amp; Company. State of Data Brasil, edições 2023-2024, 2024-2025 e 2025-2026. Kaggle.</w:t>
      </w:r>
    </w:p>
    <w:p>
      <w:pPr>
        <w:pStyle w:val="ListBullet"/>
      </w:pPr>
      <w:r>
        <w:t>Amazon Web Services. Documentação do Amazon S3, AWS Glue Data Catalog, AWS Glue ETL e Amazon Athena.</w:t>
      </w:r>
    </w:p>
    <w:p>
      <w:pPr>
        <w:pStyle w:val="ListBullet"/>
      </w:pPr>
      <w:r>
        <w:t>Repositório do projeto: README, notebook executado, consultas SQL, código-fonte e evidências estruturadas.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7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67E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37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— State of Data Brasil</dc:title>
  <dc:subject>Tech Challenge Fase 3 — Engenharia de Dados e Analytics em AWS</dc:subject>
  <dc:creator>Equipe do Tech Challenge</dc:creator>
  <cp:keywords>State of Data, AWS, Engenharia de Dados, Analytics</cp:keywords>
  <dc:description>Gerado de forma reproduzível a partir da fonte em Markdown.</dc:description>
  <cp:lastModifiedBy>Equipe do Tech Challenge</cp:lastModifiedBy>
  <cp:revision>1</cp:revision>
  <dcterms:created xsi:type="dcterms:W3CDTF">2013-12-23T23:15:00Z</dcterms:created>
  <dcterms:modified xsi:type="dcterms:W3CDTF">2013-12-23T23:15:00Z</dcterms:modified>
  <cp:category>Relatório acadêmico</cp:category>
</cp:coreProperties>
</file>