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91902" w14:textId="33C9F7E7" w:rsidR="00DA7821" w:rsidRDefault="00BB44C6">
      <w:r w:rsidRPr="00BB44C6">
        <w:drawing>
          <wp:inline distT="0" distB="0" distL="0" distR="0" wp14:anchorId="5D8956BD" wp14:editId="78D183F9">
            <wp:extent cx="5760720" cy="57607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5760720"/>
                    </a:xfrm>
                    <a:prstGeom prst="rect">
                      <a:avLst/>
                    </a:prstGeom>
                  </pic:spPr>
                </pic:pic>
              </a:graphicData>
            </a:graphic>
          </wp:inline>
        </w:drawing>
      </w:r>
    </w:p>
    <w:p w14:paraId="663827F7" w14:textId="77777777" w:rsidR="00DA7821" w:rsidRDefault="00DA7821">
      <w:r>
        <w:br w:type="page"/>
      </w:r>
    </w:p>
    <w:p w14:paraId="04FB90B5" w14:textId="77777777" w:rsidR="00DA7821" w:rsidRPr="00DA7821" w:rsidRDefault="00DA7821" w:rsidP="00DA7821">
      <w:pPr>
        <w:spacing w:after="150" w:line="300" w:lineRule="atLeast"/>
        <w:jc w:val="both"/>
        <w:rPr>
          <w:rFonts w:ascii="Verdana" w:eastAsia="Times New Roman" w:hAnsi="Verdana" w:cs="Times New Roman"/>
          <w:color w:val="000000"/>
          <w:sz w:val="21"/>
          <w:szCs w:val="21"/>
          <w:lang w:val="en-GB" w:eastAsia="de-DE"/>
        </w:rPr>
      </w:pPr>
      <w:hyperlink r:id="rId6" w:history="1">
        <w:r w:rsidRPr="00DA7821">
          <w:rPr>
            <w:rFonts w:ascii="Times New Roman" w:eastAsia="Times New Roman" w:hAnsi="Times New Roman" w:cs="Times New Roman"/>
            <w:color w:val="0000FF"/>
            <w:sz w:val="21"/>
            <w:szCs w:val="21"/>
            <w:u w:val="single"/>
            <w:lang w:val="en-GB" w:eastAsia="de-DE"/>
          </w:rPr>
          <w:t>ACOS ET Engineeringtool</w:t>
        </w:r>
      </w:hyperlink>
      <w:r w:rsidRPr="00DA7821">
        <w:rPr>
          <w:rFonts w:ascii="Verdana" w:eastAsia="Times New Roman" w:hAnsi="Verdana" w:cs="Times New Roman"/>
          <w:color w:val="000000"/>
          <w:sz w:val="21"/>
          <w:szCs w:val="21"/>
          <w:lang w:val="en-GB" w:eastAsia="de-DE"/>
        </w:rPr>
        <w:t xml:space="preserve"> &gt; </w:t>
      </w:r>
      <w:hyperlink r:id="rId7" w:history="1">
        <w:r w:rsidRPr="00DA7821">
          <w:rPr>
            <w:rFonts w:ascii="Times New Roman" w:eastAsia="Times New Roman" w:hAnsi="Times New Roman" w:cs="Times New Roman"/>
            <w:color w:val="0000FF"/>
            <w:sz w:val="21"/>
            <w:szCs w:val="21"/>
            <w:u w:val="single"/>
            <w:lang w:val="en-GB" w:eastAsia="de-DE"/>
          </w:rPr>
          <w:t>IEC 61850 Engineering</w:t>
        </w:r>
      </w:hyperlink>
    </w:p>
    <w:p w14:paraId="41EB22DB" w14:textId="77777777" w:rsidR="00DA7821" w:rsidRPr="00DA7821" w:rsidRDefault="00DA7821" w:rsidP="00DA7821">
      <w:pPr>
        <w:shd w:val="clear" w:color="auto" w:fill="C5CDFC"/>
        <w:spacing w:after="0" w:line="480" w:lineRule="auto"/>
        <w:jc w:val="center"/>
        <w:textAlignment w:val="center"/>
        <w:rPr>
          <w:rFonts w:ascii="Verdana" w:eastAsia="Times New Roman" w:hAnsi="Verdana" w:cs="Times New Roman"/>
          <w:color w:val="003299"/>
          <w:sz w:val="23"/>
          <w:szCs w:val="23"/>
          <w:lang w:val="en-GB" w:eastAsia="de-DE"/>
        </w:rPr>
      </w:pPr>
      <w:r w:rsidRPr="00DA7821">
        <w:rPr>
          <w:rFonts w:ascii="Verdana" w:eastAsia="Times New Roman" w:hAnsi="Verdana" w:cs="Times New Roman"/>
          <w:color w:val="003299"/>
          <w:sz w:val="23"/>
          <w:szCs w:val="23"/>
          <w:lang w:val="en-GB" w:eastAsia="de-DE"/>
        </w:rPr>
        <w:t xml:space="preserve">ACOS ET </w:t>
      </w:r>
    </w:p>
    <w:p w14:paraId="74A500C0" w14:textId="77777777" w:rsidR="00DA7821" w:rsidRPr="00DA7821" w:rsidRDefault="00DA7821" w:rsidP="00DA7821">
      <w:pPr>
        <w:shd w:val="clear" w:color="auto" w:fill="DDDDDD"/>
        <w:spacing w:before="225" w:after="225" w:line="600" w:lineRule="auto"/>
        <w:jc w:val="center"/>
        <w:outlineLvl w:val="0"/>
        <w:rPr>
          <w:rFonts w:ascii="Verdana" w:eastAsia="Times New Roman" w:hAnsi="Verdana" w:cs="Times New Roman"/>
          <w:b/>
          <w:bCs/>
          <w:color w:val="000000"/>
          <w:kern w:val="36"/>
          <w:sz w:val="32"/>
          <w:szCs w:val="32"/>
          <w:lang w:eastAsia="de-DE"/>
        </w:rPr>
      </w:pPr>
      <w:bookmarkStart w:id="0" w:name="ET_komm_61850"/>
      <w:bookmarkEnd w:id="0"/>
      <w:r w:rsidRPr="00DA7821">
        <w:rPr>
          <w:rFonts w:ascii="Verdana" w:eastAsia="Times New Roman" w:hAnsi="Verdana" w:cs="Times New Roman"/>
          <w:b/>
          <w:bCs/>
          <w:color w:val="000000"/>
          <w:kern w:val="36"/>
          <w:sz w:val="32"/>
          <w:szCs w:val="32"/>
          <w:lang w:eastAsia="de-DE"/>
        </w:rPr>
        <w:t xml:space="preserve">IEC 61850 Engineering </w:t>
      </w:r>
    </w:p>
    <w:p w14:paraId="791AB3BE" w14:textId="77777777" w:rsidR="00DA7821" w:rsidRPr="00DA7821" w:rsidRDefault="00DA7821" w:rsidP="00DA7821">
      <w:pPr>
        <w:spacing w:after="90" w:line="300" w:lineRule="atLeast"/>
        <w:ind w:left="225" w:right="225"/>
        <w:jc w:val="both"/>
        <w:rPr>
          <w:rFonts w:ascii="Verdana" w:eastAsia="Times New Roman" w:hAnsi="Verdana" w:cs="Times New Roman"/>
          <w:color w:val="000000"/>
          <w:sz w:val="21"/>
          <w:szCs w:val="21"/>
          <w:lang w:eastAsia="de-DE"/>
        </w:rPr>
      </w:pPr>
      <w:r w:rsidRPr="00DA7821">
        <w:rPr>
          <w:rFonts w:ascii="Verdana" w:eastAsia="Times New Roman" w:hAnsi="Verdana" w:cs="Times New Roman"/>
          <w:color w:val="000000"/>
          <w:sz w:val="21"/>
          <w:szCs w:val="21"/>
          <w:lang w:eastAsia="de-DE"/>
        </w:rPr>
        <w:t xml:space="preserve">Die Norm IEC 61850 standardisiert die Kommunikation zwischen den Automatisierungs- und Schutzgeräten einer Schaltanlage. Dazu wird ein hierarchisches Objektmodell definiert, das in einer genormten Sprache auf Basis von XML, der sog. Substation Configuration Language (SCL), beschrieben wird. </w:t>
      </w:r>
    </w:p>
    <w:p w14:paraId="106E72BE" w14:textId="77777777" w:rsidR="00DA7821" w:rsidRPr="00DA7821" w:rsidRDefault="00DA7821" w:rsidP="00DA7821">
      <w:pPr>
        <w:spacing w:after="90" w:line="300" w:lineRule="atLeast"/>
        <w:ind w:left="225" w:right="225"/>
        <w:jc w:val="both"/>
        <w:rPr>
          <w:rFonts w:ascii="Verdana" w:eastAsia="Times New Roman" w:hAnsi="Verdana" w:cs="Times New Roman"/>
          <w:color w:val="000000"/>
          <w:sz w:val="21"/>
          <w:szCs w:val="21"/>
          <w:lang w:eastAsia="de-DE"/>
        </w:rPr>
      </w:pPr>
      <w:r w:rsidRPr="00DA7821">
        <w:rPr>
          <w:rFonts w:ascii="Verdana" w:eastAsia="Times New Roman" w:hAnsi="Verdana" w:cs="Times New Roman"/>
          <w:color w:val="000000"/>
          <w:sz w:val="21"/>
          <w:szCs w:val="21"/>
          <w:lang w:eastAsia="de-DE"/>
        </w:rPr>
        <w:t xml:space="preserve">ACOS ET unterstützt alle für die Anwendung der IEC 61850 im Zusammenhang mit IDS Fernwirk- und Automatisierungstechnik notwendigen Engineeringschritte und Engineeringdaten, also insbesondere </w:t>
      </w:r>
    </w:p>
    <w:p w14:paraId="78349A18" w14:textId="77777777" w:rsidR="00DA7821" w:rsidRPr="00DA7821" w:rsidRDefault="00DA7821" w:rsidP="00DA7821">
      <w:pPr>
        <w:numPr>
          <w:ilvl w:val="0"/>
          <w:numId w:val="1"/>
        </w:numPr>
        <w:spacing w:after="90" w:line="300" w:lineRule="atLeast"/>
        <w:ind w:left="945" w:right="225"/>
        <w:jc w:val="both"/>
        <w:rPr>
          <w:rFonts w:ascii="Verdana" w:eastAsia="Times New Roman" w:hAnsi="Verdana" w:cs="Times New Roman"/>
          <w:color w:val="000000"/>
          <w:sz w:val="21"/>
          <w:szCs w:val="21"/>
          <w:lang w:eastAsia="de-DE"/>
        </w:rPr>
      </w:pPr>
      <w:r w:rsidRPr="00DA7821">
        <w:rPr>
          <w:rFonts w:ascii="Verdana" w:eastAsia="Times New Roman" w:hAnsi="Verdana" w:cs="Times New Roman"/>
          <w:color w:val="000000"/>
          <w:sz w:val="21"/>
          <w:szCs w:val="21"/>
          <w:lang w:eastAsia="de-DE"/>
        </w:rPr>
        <w:t xml:space="preserve">die Anlagenkonfiguration mit der Möglichkeit des Imports/Exports von SCD-Dateien, </w:t>
      </w:r>
    </w:p>
    <w:p w14:paraId="150877F8" w14:textId="77777777" w:rsidR="00DA7821" w:rsidRPr="00DA7821" w:rsidRDefault="00DA7821" w:rsidP="00DA7821">
      <w:pPr>
        <w:numPr>
          <w:ilvl w:val="0"/>
          <w:numId w:val="1"/>
        </w:numPr>
        <w:spacing w:after="90" w:line="300" w:lineRule="atLeast"/>
        <w:ind w:left="945" w:right="225"/>
        <w:jc w:val="both"/>
        <w:rPr>
          <w:rFonts w:ascii="Verdana" w:eastAsia="Times New Roman" w:hAnsi="Verdana" w:cs="Times New Roman"/>
          <w:color w:val="000000"/>
          <w:sz w:val="21"/>
          <w:szCs w:val="21"/>
          <w:lang w:eastAsia="de-DE"/>
        </w:rPr>
      </w:pPr>
      <w:r w:rsidRPr="00DA7821">
        <w:rPr>
          <w:rFonts w:ascii="Verdana" w:eastAsia="Times New Roman" w:hAnsi="Verdana" w:cs="Times New Roman"/>
          <w:color w:val="000000"/>
          <w:sz w:val="21"/>
          <w:szCs w:val="21"/>
          <w:lang w:eastAsia="de-DE"/>
        </w:rPr>
        <w:t xml:space="preserve">das Engineering von Clients und Servern mit der Möglichkeit des Imports/Exports von ICD-Dateien, </w:t>
      </w:r>
    </w:p>
    <w:p w14:paraId="00EF1248" w14:textId="77777777" w:rsidR="00DA7821" w:rsidRPr="00DA7821" w:rsidRDefault="00DA7821" w:rsidP="00DA7821">
      <w:pPr>
        <w:numPr>
          <w:ilvl w:val="0"/>
          <w:numId w:val="1"/>
        </w:numPr>
        <w:spacing w:after="90" w:line="300" w:lineRule="atLeast"/>
        <w:ind w:left="945" w:right="225"/>
        <w:jc w:val="both"/>
        <w:rPr>
          <w:rFonts w:ascii="Verdana" w:eastAsia="Times New Roman" w:hAnsi="Verdana" w:cs="Times New Roman"/>
          <w:color w:val="000000"/>
          <w:sz w:val="21"/>
          <w:szCs w:val="21"/>
          <w:lang w:eastAsia="de-DE"/>
        </w:rPr>
      </w:pPr>
      <w:r w:rsidRPr="00DA7821">
        <w:rPr>
          <w:rFonts w:ascii="Verdana" w:eastAsia="Times New Roman" w:hAnsi="Verdana" w:cs="Times New Roman"/>
          <w:color w:val="000000"/>
          <w:sz w:val="21"/>
          <w:szCs w:val="21"/>
          <w:lang w:eastAsia="de-DE"/>
        </w:rPr>
        <w:t>das Engineering der GOOSE-Kommunikation,</w:t>
      </w:r>
    </w:p>
    <w:p w14:paraId="6E9CF592" w14:textId="77777777" w:rsidR="00DA7821" w:rsidRPr="00DA7821" w:rsidRDefault="00DA7821" w:rsidP="00DA7821">
      <w:pPr>
        <w:numPr>
          <w:ilvl w:val="0"/>
          <w:numId w:val="1"/>
        </w:numPr>
        <w:spacing w:after="100" w:line="300" w:lineRule="atLeast"/>
        <w:ind w:left="945" w:right="225"/>
        <w:jc w:val="both"/>
        <w:rPr>
          <w:rFonts w:ascii="Verdana" w:eastAsia="Times New Roman" w:hAnsi="Verdana" w:cs="Times New Roman"/>
          <w:color w:val="000000"/>
          <w:sz w:val="21"/>
          <w:szCs w:val="21"/>
          <w:lang w:eastAsia="de-DE"/>
        </w:rPr>
      </w:pPr>
      <w:r w:rsidRPr="00DA7821">
        <w:rPr>
          <w:rFonts w:ascii="Verdana" w:eastAsia="Times New Roman" w:hAnsi="Verdana" w:cs="Times New Roman"/>
          <w:color w:val="000000"/>
          <w:sz w:val="21"/>
          <w:szCs w:val="21"/>
          <w:lang w:eastAsia="de-DE"/>
        </w:rPr>
        <w:t xml:space="preserve">die Konfiguration/Parametrierung von IDS-Clients und -Servern über CID-Dateien.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975"/>
        <w:gridCol w:w="8097"/>
      </w:tblGrid>
      <w:tr w:rsidR="00DA7821" w:rsidRPr="00DA7821" w14:paraId="76A0FCD9" w14:textId="77777777" w:rsidTr="00DA7821">
        <w:trPr>
          <w:tblCellSpacing w:w="15" w:type="dxa"/>
        </w:trPr>
        <w:tc>
          <w:tcPr>
            <w:tcW w:w="375" w:type="dxa"/>
            <w:vMerge w:val="restart"/>
            <w:hideMark/>
          </w:tcPr>
          <w:p w14:paraId="1685E2B2" w14:textId="71A572BF" w:rsidR="00DA7821" w:rsidRPr="00DA7821" w:rsidRDefault="00DA7821" w:rsidP="00DA7821">
            <w:pPr>
              <w:spacing w:after="0" w:line="300" w:lineRule="atLeast"/>
              <w:jc w:val="center"/>
              <w:rPr>
                <w:rFonts w:ascii="Verdana" w:eastAsia="Times New Roman" w:hAnsi="Verdana" w:cs="Times New Roman"/>
                <w:color w:val="000000"/>
                <w:sz w:val="21"/>
                <w:szCs w:val="21"/>
                <w:lang w:eastAsia="de-DE"/>
              </w:rPr>
            </w:pPr>
            <w:r w:rsidRPr="00DA7821">
              <w:rPr>
                <w:rFonts w:ascii="Verdana" w:eastAsia="Times New Roman" w:hAnsi="Verdana" w:cs="Times New Roman"/>
                <w:noProof/>
                <w:color w:val="000000"/>
                <w:sz w:val="21"/>
                <w:szCs w:val="21"/>
                <w:lang w:eastAsia="de-DE"/>
              </w:rPr>
              <w:drawing>
                <wp:inline distT="0" distB="0" distL="0" distR="0" wp14:anchorId="3AD5227B" wp14:editId="6482312D">
                  <wp:extent cx="561975" cy="457200"/>
                  <wp:effectExtent l="0" t="0" r="9525" b="0"/>
                  <wp:docPr id="2" name="Grafik 2" descr="[Vors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sich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tc>
        <w:tc>
          <w:tcPr>
            <w:tcW w:w="0" w:type="auto"/>
            <w:vAlign w:val="center"/>
            <w:hideMark/>
          </w:tcPr>
          <w:p w14:paraId="29568109" w14:textId="77777777" w:rsidR="00DA7821" w:rsidRPr="00DA7821" w:rsidRDefault="00DA7821" w:rsidP="00DA7821">
            <w:pPr>
              <w:spacing w:after="0" w:line="270" w:lineRule="atLeast"/>
              <w:rPr>
                <w:rFonts w:ascii="Verdana" w:eastAsia="Times New Roman" w:hAnsi="Verdana" w:cs="Times New Roman"/>
                <w:b/>
                <w:bCs/>
                <w:color w:val="000000"/>
                <w:sz w:val="18"/>
                <w:szCs w:val="18"/>
                <w:u w:val="single"/>
                <w:lang w:eastAsia="de-DE"/>
              </w:rPr>
            </w:pPr>
            <w:r w:rsidRPr="00DA7821">
              <w:rPr>
                <w:rFonts w:ascii="Verdana" w:eastAsia="Times New Roman" w:hAnsi="Verdana" w:cs="Times New Roman"/>
                <w:b/>
                <w:bCs/>
                <w:color w:val="000000"/>
                <w:sz w:val="18"/>
                <w:szCs w:val="18"/>
                <w:u w:val="single"/>
                <w:lang w:eastAsia="de-DE"/>
              </w:rPr>
              <w:t>Vorsicht</w:t>
            </w:r>
          </w:p>
        </w:tc>
      </w:tr>
      <w:tr w:rsidR="00DA7821" w:rsidRPr="00DA7821" w14:paraId="4362C7E8" w14:textId="77777777" w:rsidTr="00DA7821">
        <w:trPr>
          <w:tblCellSpacing w:w="15" w:type="dxa"/>
        </w:trPr>
        <w:tc>
          <w:tcPr>
            <w:tcW w:w="0" w:type="auto"/>
            <w:vMerge/>
            <w:vAlign w:val="center"/>
            <w:hideMark/>
          </w:tcPr>
          <w:p w14:paraId="19111515" w14:textId="77777777" w:rsidR="00DA7821" w:rsidRPr="00DA7821" w:rsidRDefault="00DA7821" w:rsidP="00DA7821">
            <w:pPr>
              <w:spacing w:after="0" w:line="300" w:lineRule="atLeast"/>
              <w:jc w:val="both"/>
              <w:rPr>
                <w:rFonts w:ascii="Verdana" w:eastAsia="Times New Roman" w:hAnsi="Verdana" w:cs="Times New Roman"/>
                <w:color w:val="000000"/>
                <w:sz w:val="21"/>
                <w:szCs w:val="21"/>
                <w:lang w:eastAsia="de-DE"/>
              </w:rPr>
            </w:pPr>
          </w:p>
        </w:tc>
        <w:tc>
          <w:tcPr>
            <w:tcW w:w="0" w:type="auto"/>
            <w:hideMark/>
          </w:tcPr>
          <w:p w14:paraId="3F629108" w14:textId="77777777" w:rsidR="00DA7821" w:rsidRPr="00DA7821" w:rsidRDefault="00DA7821" w:rsidP="00DA7821">
            <w:pPr>
              <w:spacing w:after="0" w:line="300" w:lineRule="atLeast"/>
              <w:rPr>
                <w:rFonts w:ascii="Verdana" w:eastAsia="Times New Roman" w:hAnsi="Verdana" w:cs="Times New Roman"/>
                <w:color w:val="000000"/>
                <w:sz w:val="21"/>
                <w:szCs w:val="21"/>
                <w:lang w:eastAsia="de-DE"/>
              </w:rPr>
            </w:pPr>
            <w:r w:rsidRPr="00DA7821">
              <w:rPr>
                <w:rFonts w:ascii="Verdana" w:eastAsia="Times New Roman" w:hAnsi="Verdana" w:cs="Times New Roman"/>
                <w:color w:val="000000"/>
                <w:sz w:val="21"/>
                <w:szCs w:val="21"/>
                <w:lang w:eastAsia="de-DE"/>
              </w:rPr>
              <w:t xml:space="preserve">Kenntnisse der Normenreihe IEC 61850, insbesondere des Teil 7, werden vorausgesetzt. </w:t>
            </w:r>
          </w:p>
        </w:tc>
      </w:tr>
    </w:tbl>
    <w:p w14:paraId="3F9BED9E" w14:textId="77777777" w:rsidR="00DA7821" w:rsidRPr="00DA7821" w:rsidRDefault="00DA7821" w:rsidP="00DA7821">
      <w:pPr>
        <w:shd w:val="clear" w:color="auto" w:fill="DDDDDD"/>
        <w:spacing w:before="225" w:after="225" w:line="300" w:lineRule="atLeast"/>
        <w:jc w:val="both"/>
        <w:outlineLvl w:val="1"/>
        <w:rPr>
          <w:rFonts w:ascii="Verdana" w:eastAsia="Times New Roman" w:hAnsi="Verdana" w:cs="Times New Roman"/>
          <w:b/>
          <w:bCs/>
          <w:color w:val="000000"/>
          <w:sz w:val="26"/>
          <w:szCs w:val="26"/>
          <w:lang w:eastAsia="de-DE"/>
        </w:rPr>
      </w:pPr>
      <w:bookmarkStart w:id="1" w:name="SCD_glossar"/>
      <w:bookmarkEnd w:id="1"/>
      <w:r w:rsidRPr="00DA7821">
        <w:rPr>
          <w:rFonts w:ascii="Verdana" w:eastAsia="Times New Roman" w:hAnsi="Verdana" w:cs="Times New Roman"/>
          <w:b/>
          <w:bCs/>
          <w:color w:val="000000"/>
          <w:sz w:val="26"/>
          <w:szCs w:val="26"/>
          <w:lang w:eastAsia="de-DE"/>
        </w:rPr>
        <w:t xml:space="preserve">1. Glossar </w:t>
      </w:r>
    </w:p>
    <w:p w14:paraId="5BF7942C" w14:textId="77777777" w:rsidR="00DA7821" w:rsidRPr="00DA7821" w:rsidRDefault="00DA7821" w:rsidP="00DA7821">
      <w:pPr>
        <w:spacing w:after="90" w:line="300" w:lineRule="atLeast"/>
        <w:ind w:left="225" w:right="225"/>
        <w:jc w:val="both"/>
        <w:rPr>
          <w:rFonts w:ascii="Verdana" w:eastAsia="Times New Roman" w:hAnsi="Verdana" w:cs="Times New Roman"/>
          <w:color w:val="000000"/>
          <w:sz w:val="21"/>
          <w:szCs w:val="21"/>
          <w:lang w:eastAsia="de-DE"/>
        </w:rPr>
      </w:pPr>
      <w:r w:rsidRPr="00DA7821">
        <w:rPr>
          <w:rFonts w:ascii="Verdana" w:eastAsia="Times New Roman" w:hAnsi="Verdana" w:cs="Times New Roman"/>
          <w:color w:val="000000"/>
          <w:sz w:val="21"/>
          <w:szCs w:val="21"/>
          <w:lang w:eastAsia="de-DE"/>
        </w:rPr>
        <w:t xml:space="preserve">In diesem Abschnitt sind wichtige Begriffe, die im Weiteren verwendet werden, aufgeführt. Eine vollständige Auflistung aller Begrifflichkeiten und Definitionen der Norm findet sich im Glossar der Norm IEC 61850 (Teil 2). </w:t>
      </w:r>
    </w:p>
    <w:p w14:paraId="43FC4AA7" w14:textId="77777777" w:rsidR="00DA7821" w:rsidRPr="00DA7821" w:rsidRDefault="00DA7821" w:rsidP="00DA7821">
      <w:pPr>
        <w:numPr>
          <w:ilvl w:val="0"/>
          <w:numId w:val="2"/>
        </w:numPr>
        <w:spacing w:after="90" w:line="300" w:lineRule="atLeast"/>
        <w:ind w:left="675" w:right="1125"/>
        <w:jc w:val="both"/>
        <w:rPr>
          <w:rFonts w:ascii="Verdana" w:eastAsia="Times New Roman" w:hAnsi="Verdana" w:cs="Times New Roman"/>
          <w:color w:val="000000"/>
          <w:sz w:val="21"/>
          <w:szCs w:val="21"/>
          <w:lang w:eastAsia="de-DE"/>
        </w:rPr>
      </w:pPr>
      <w:r w:rsidRPr="00DA7821">
        <w:rPr>
          <w:rFonts w:ascii="Verdana" w:eastAsia="Times New Roman" w:hAnsi="Verdana" w:cs="Times New Roman"/>
          <w:b/>
          <w:bCs/>
          <w:color w:val="000000"/>
          <w:sz w:val="21"/>
          <w:szCs w:val="21"/>
          <w:lang w:eastAsia="de-DE"/>
        </w:rPr>
        <w:t>SCD-Datei:</w:t>
      </w:r>
      <w:r w:rsidRPr="00DA7821">
        <w:rPr>
          <w:rFonts w:ascii="Verdana" w:eastAsia="Times New Roman" w:hAnsi="Verdana" w:cs="Times New Roman"/>
          <w:color w:val="000000"/>
          <w:sz w:val="21"/>
          <w:szCs w:val="21"/>
          <w:lang w:eastAsia="de-DE"/>
        </w:rPr>
        <w:t xml:space="preserve"> Substation Configuration Description Datei; sie beinhaltet die vollständige Systembeschreibung gemäß IEC 61850, bestehend aus der Kommunikationsstruktur (</w:t>
      </w:r>
      <w:r w:rsidRPr="00DA7821">
        <w:rPr>
          <w:rFonts w:ascii="Arial" w:eastAsia="Times New Roman" w:hAnsi="Arial" w:cs="Arial"/>
          <w:color w:val="000000"/>
          <w:sz w:val="21"/>
          <w:szCs w:val="21"/>
          <w:lang w:eastAsia="de-DE"/>
        </w:rPr>
        <w:t>→</w:t>
      </w:r>
      <w:r w:rsidRPr="00DA7821">
        <w:rPr>
          <w:rFonts w:ascii="Verdana" w:eastAsia="Times New Roman" w:hAnsi="Verdana" w:cs="Times New Roman"/>
          <w:color w:val="000000"/>
          <w:sz w:val="21"/>
          <w:szCs w:val="21"/>
          <w:lang w:eastAsia="de-DE"/>
        </w:rPr>
        <w:t>Communication Node), allen Ger</w:t>
      </w:r>
      <w:r w:rsidRPr="00DA7821">
        <w:rPr>
          <w:rFonts w:ascii="Verdana" w:eastAsia="Times New Roman" w:hAnsi="Verdana" w:cs="Verdana"/>
          <w:color w:val="000000"/>
          <w:sz w:val="21"/>
          <w:szCs w:val="21"/>
          <w:lang w:eastAsia="de-DE"/>
        </w:rPr>
        <w:t>ä</w:t>
      </w:r>
      <w:r w:rsidRPr="00DA7821">
        <w:rPr>
          <w:rFonts w:ascii="Verdana" w:eastAsia="Times New Roman" w:hAnsi="Verdana" w:cs="Times New Roman"/>
          <w:color w:val="000000"/>
          <w:sz w:val="21"/>
          <w:szCs w:val="21"/>
          <w:lang w:eastAsia="de-DE"/>
        </w:rPr>
        <w:t>ten (</w:t>
      </w:r>
      <w:r w:rsidRPr="00DA7821">
        <w:rPr>
          <w:rFonts w:ascii="Arial" w:eastAsia="Times New Roman" w:hAnsi="Arial" w:cs="Arial"/>
          <w:color w:val="000000"/>
          <w:sz w:val="21"/>
          <w:szCs w:val="21"/>
          <w:lang w:eastAsia="de-DE"/>
        </w:rPr>
        <w:t>→</w:t>
      </w:r>
      <w:r w:rsidRPr="00DA7821">
        <w:rPr>
          <w:rFonts w:ascii="Verdana" w:eastAsia="Times New Roman" w:hAnsi="Verdana" w:cs="Times New Roman"/>
          <w:color w:val="000000"/>
          <w:sz w:val="21"/>
          <w:szCs w:val="21"/>
          <w:lang w:eastAsia="de-DE"/>
        </w:rPr>
        <w:t>IEDs) und allen Typbeschreibungen (</w:t>
      </w:r>
      <w:r w:rsidRPr="00DA7821">
        <w:rPr>
          <w:rFonts w:ascii="Arial" w:eastAsia="Times New Roman" w:hAnsi="Arial" w:cs="Arial"/>
          <w:color w:val="000000"/>
          <w:sz w:val="21"/>
          <w:szCs w:val="21"/>
          <w:lang w:eastAsia="de-DE"/>
        </w:rPr>
        <w:t>→</w:t>
      </w:r>
      <w:r w:rsidRPr="00DA7821">
        <w:rPr>
          <w:rFonts w:ascii="Verdana" w:eastAsia="Times New Roman" w:hAnsi="Verdana" w:cs="Times New Roman"/>
          <w:color w:val="000000"/>
          <w:sz w:val="21"/>
          <w:szCs w:val="21"/>
          <w:lang w:eastAsia="de-DE"/>
        </w:rPr>
        <w:t xml:space="preserve">DataTypeTemplates) </w:t>
      </w:r>
    </w:p>
    <w:p w14:paraId="40C8CD5F" w14:textId="77777777" w:rsidR="00DA7821" w:rsidRPr="00DA7821" w:rsidRDefault="00DA7821" w:rsidP="00DA7821">
      <w:pPr>
        <w:numPr>
          <w:ilvl w:val="0"/>
          <w:numId w:val="2"/>
        </w:numPr>
        <w:spacing w:after="90" w:line="300" w:lineRule="atLeast"/>
        <w:ind w:left="675" w:right="1125"/>
        <w:jc w:val="both"/>
        <w:rPr>
          <w:rFonts w:ascii="Verdana" w:eastAsia="Times New Roman" w:hAnsi="Verdana" w:cs="Times New Roman"/>
          <w:color w:val="000000"/>
          <w:sz w:val="21"/>
          <w:szCs w:val="21"/>
          <w:lang w:eastAsia="de-DE"/>
        </w:rPr>
      </w:pPr>
      <w:r w:rsidRPr="00DA7821">
        <w:rPr>
          <w:rFonts w:ascii="Verdana" w:eastAsia="Times New Roman" w:hAnsi="Verdana" w:cs="Times New Roman"/>
          <w:b/>
          <w:bCs/>
          <w:color w:val="000000"/>
          <w:sz w:val="21"/>
          <w:szCs w:val="21"/>
          <w:lang w:eastAsia="de-DE"/>
        </w:rPr>
        <w:t>Communication Node:</w:t>
      </w:r>
      <w:r w:rsidRPr="00DA7821">
        <w:rPr>
          <w:rFonts w:ascii="Verdana" w:eastAsia="Times New Roman" w:hAnsi="Verdana" w:cs="Times New Roman"/>
          <w:color w:val="000000"/>
          <w:sz w:val="21"/>
          <w:szCs w:val="21"/>
          <w:lang w:eastAsia="de-DE"/>
        </w:rPr>
        <w:t xml:space="preserve"> Abschnitt der SCD-Datei, der die Beschreibung der Kommunikationsstruktur enthält, bestehend aus mindestens einem Abschnitt Subnetwork (Netzwerk), der wiederum die Adressinformationen der ConnectedAPs (= mit dem Netzwerk verbundene </w:t>
      </w:r>
      <w:r w:rsidRPr="00DA7821">
        <w:rPr>
          <w:rFonts w:ascii="Arial" w:eastAsia="Times New Roman" w:hAnsi="Arial" w:cs="Arial"/>
          <w:color w:val="000000"/>
          <w:sz w:val="21"/>
          <w:szCs w:val="21"/>
          <w:lang w:eastAsia="de-DE"/>
        </w:rPr>
        <w:t>→</w:t>
      </w:r>
      <w:r w:rsidRPr="00DA7821">
        <w:rPr>
          <w:rFonts w:ascii="Verdana" w:eastAsia="Times New Roman" w:hAnsi="Verdana" w:cs="Times New Roman"/>
          <w:color w:val="000000"/>
          <w:sz w:val="21"/>
          <w:szCs w:val="21"/>
          <w:lang w:eastAsia="de-DE"/>
        </w:rPr>
        <w:t xml:space="preserve">AccessPoints) enthält </w:t>
      </w:r>
    </w:p>
    <w:p w14:paraId="727B9425" w14:textId="77777777" w:rsidR="00DA7821" w:rsidRPr="00DA7821" w:rsidRDefault="00DA7821" w:rsidP="00DA7821">
      <w:pPr>
        <w:numPr>
          <w:ilvl w:val="0"/>
          <w:numId w:val="2"/>
        </w:numPr>
        <w:spacing w:after="90" w:line="300" w:lineRule="atLeast"/>
        <w:ind w:left="675" w:right="1125"/>
        <w:jc w:val="both"/>
        <w:rPr>
          <w:rFonts w:ascii="Verdana" w:eastAsia="Times New Roman" w:hAnsi="Verdana" w:cs="Times New Roman"/>
          <w:color w:val="000000"/>
          <w:sz w:val="21"/>
          <w:szCs w:val="21"/>
          <w:lang w:eastAsia="de-DE"/>
        </w:rPr>
      </w:pPr>
      <w:r w:rsidRPr="00DA7821">
        <w:rPr>
          <w:rFonts w:ascii="Verdana" w:eastAsia="Times New Roman" w:hAnsi="Verdana" w:cs="Times New Roman"/>
          <w:b/>
          <w:bCs/>
          <w:color w:val="000000"/>
          <w:sz w:val="21"/>
          <w:szCs w:val="21"/>
          <w:lang w:eastAsia="de-DE"/>
        </w:rPr>
        <w:t>IED:</w:t>
      </w:r>
      <w:r w:rsidRPr="00DA7821">
        <w:rPr>
          <w:rFonts w:ascii="Verdana" w:eastAsia="Times New Roman" w:hAnsi="Verdana" w:cs="Times New Roman"/>
          <w:color w:val="000000"/>
          <w:sz w:val="21"/>
          <w:szCs w:val="21"/>
          <w:lang w:eastAsia="de-DE"/>
        </w:rPr>
        <w:t xml:space="preserve"> Intelligent Electronic Device (Sekundärtechnisches Gerät) </w:t>
      </w:r>
    </w:p>
    <w:p w14:paraId="09EF3918" w14:textId="77777777" w:rsidR="00DA7821" w:rsidRPr="00DA7821" w:rsidRDefault="00DA7821" w:rsidP="00DA7821">
      <w:pPr>
        <w:numPr>
          <w:ilvl w:val="0"/>
          <w:numId w:val="2"/>
        </w:numPr>
        <w:spacing w:after="90" w:line="300" w:lineRule="atLeast"/>
        <w:ind w:left="675" w:right="1125"/>
        <w:jc w:val="both"/>
        <w:rPr>
          <w:rFonts w:ascii="Verdana" w:eastAsia="Times New Roman" w:hAnsi="Verdana" w:cs="Times New Roman"/>
          <w:color w:val="000000"/>
          <w:sz w:val="21"/>
          <w:szCs w:val="21"/>
          <w:lang w:eastAsia="de-DE"/>
        </w:rPr>
      </w:pPr>
      <w:r w:rsidRPr="00DA7821">
        <w:rPr>
          <w:rFonts w:ascii="Verdana" w:eastAsia="Times New Roman" w:hAnsi="Verdana" w:cs="Times New Roman"/>
          <w:b/>
          <w:bCs/>
          <w:color w:val="000000"/>
          <w:sz w:val="21"/>
          <w:szCs w:val="21"/>
          <w:lang w:eastAsia="de-DE"/>
        </w:rPr>
        <w:t>AccessPoint:</w:t>
      </w:r>
      <w:r w:rsidRPr="00DA7821">
        <w:rPr>
          <w:rFonts w:ascii="Verdana" w:eastAsia="Times New Roman" w:hAnsi="Verdana" w:cs="Times New Roman"/>
          <w:color w:val="000000"/>
          <w:sz w:val="21"/>
          <w:szCs w:val="21"/>
          <w:lang w:eastAsia="de-DE"/>
        </w:rPr>
        <w:t xml:space="preserve"> Kommunikationsschnittstelle eines IED </w:t>
      </w:r>
    </w:p>
    <w:p w14:paraId="396E05B1" w14:textId="77777777" w:rsidR="00DA7821" w:rsidRPr="00DA7821" w:rsidRDefault="00DA7821" w:rsidP="00DA7821">
      <w:pPr>
        <w:numPr>
          <w:ilvl w:val="0"/>
          <w:numId w:val="2"/>
        </w:numPr>
        <w:spacing w:after="90" w:line="300" w:lineRule="atLeast"/>
        <w:ind w:left="675" w:right="1125"/>
        <w:jc w:val="both"/>
        <w:rPr>
          <w:rFonts w:ascii="Verdana" w:eastAsia="Times New Roman" w:hAnsi="Verdana" w:cs="Times New Roman"/>
          <w:color w:val="000000"/>
          <w:sz w:val="21"/>
          <w:szCs w:val="21"/>
          <w:lang w:eastAsia="de-DE"/>
        </w:rPr>
      </w:pPr>
      <w:r w:rsidRPr="00DA7821">
        <w:rPr>
          <w:rFonts w:ascii="Verdana" w:eastAsia="Times New Roman" w:hAnsi="Verdana" w:cs="Times New Roman"/>
          <w:b/>
          <w:bCs/>
          <w:color w:val="000000"/>
          <w:sz w:val="21"/>
          <w:szCs w:val="21"/>
          <w:lang w:eastAsia="de-DE"/>
        </w:rPr>
        <w:t xml:space="preserve">Logical Device (Logisches Gerät, LDevice): </w:t>
      </w:r>
      <w:r w:rsidRPr="00DA7821">
        <w:rPr>
          <w:rFonts w:ascii="Verdana" w:eastAsia="Times New Roman" w:hAnsi="Verdana" w:cs="Times New Roman"/>
          <w:color w:val="000000"/>
          <w:sz w:val="21"/>
          <w:szCs w:val="21"/>
          <w:lang w:eastAsia="de-DE"/>
        </w:rPr>
        <w:t xml:space="preserve">Container, in dem mehrere </w:t>
      </w:r>
      <w:r w:rsidRPr="00DA7821">
        <w:rPr>
          <w:rFonts w:ascii="Arial" w:eastAsia="Times New Roman" w:hAnsi="Arial" w:cs="Arial"/>
          <w:color w:val="000000"/>
          <w:sz w:val="21"/>
          <w:szCs w:val="21"/>
          <w:lang w:eastAsia="de-DE"/>
        </w:rPr>
        <w:t>→</w:t>
      </w:r>
      <w:r w:rsidRPr="00DA7821">
        <w:rPr>
          <w:rFonts w:ascii="Verdana" w:eastAsia="Times New Roman" w:hAnsi="Verdana" w:cs="Times New Roman"/>
          <w:color w:val="000000"/>
          <w:sz w:val="21"/>
          <w:szCs w:val="21"/>
          <w:lang w:eastAsia="de-DE"/>
        </w:rPr>
        <w:t xml:space="preserve"> Logical Nodes zu einem Logical Device ("logisches Ger</w:t>
      </w:r>
      <w:r w:rsidRPr="00DA7821">
        <w:rPr>
          <w:rFonts w:ascii="Verdana" w:eastAsia="Times New Roman" w:hAnsi="Verdana" w:cs="Verdana"/>
          <w:color w:val="000000"/>
          <w:sz w:val="21"/>
          <w:szCs w:val="21"/>
          <w:lang w:eastAsia="de-DE"/>
        </w:rPr>
        <w:t>ä</w:t>
      </w:r>
      <w:r w:rsidRPr="00DA7821">
        <w:rPr>
          <w:rFonts w:ascii="Verdana" w:eastAsia="Times New Roman" w:hAnsi="Verdana" w:cs="Times New Roman"/>
          <w:color w:val="000000"/>
          <w:sz w:val="21"/>
          <w:szCs w:val="21"/>
          <w:lang w:eastAsia="de-DE"/>
        </w:rPr>
        <w:t xml:space="preserve">t") zusammengefasst sind </w:t>
      </w:r>
    </w:p>
    <w:p w14:paraId="4CDD2513" w14:textId="77777777" w:rsidR="00DA7821" w:rsidRPr="00DA7821" w:rsidRDefault="00DA7821" w:rsidP="00DA7821">
      <w:pPr>
        <w:numPr>
          <w:ilvl w:val="0"/>
          <w:numId w:val="2"/>
        </w:numPr>
        <w:spacing w:after="90" w:line="300" w:lineRule="atLeast"/>
        <w:ind w:left="675" w:right="1125"/>
        <w:jc w:val="both"/>
        <w:rPr>
          <w:rFonts w:ascii="Verdana" w:eastAsia="Times New Roman" w:hAnsi="Verdana" w:cs="Times New Roman"/>
          <w:color w:val="000000"/>
          <w:sz w:val="21"/>
          <w:szCs w:val="21"/>
          <w:lang w:eastAsia="de-DE"/>
        </w:rPr>
      </w:pPr>
      <w:r w:rsidRPr="00DA7821">
        <w:rPr>
          <w:rFonts w:ascii="Verdana" w:eastAsia="Times New Roman" w:hAnsi="Verdana" w:cs="Times New Roman"/>
          <w:b/>
          <w:bCs/>
          <w:color w:val="000000"/>
          <w:sz w:val="21"/>
          <w:szCs w:val="21"/>
          <w:lang w:eastAsia="de-DE"/>
        </w:rPr>
        <w:t xml:space="preserve">Logical Node (Logischer Knoten, LNode): </w:t>
      </w:r>
      <w:r w:rsidRPr="00DA7821">
        <w:rPr>
          <w:rFonts w:ascii="Verdana" w:eastAsia="Times New Roman" w:hAnsi="Verdana" w:cs="Times New Roman"/>
          <w:color w:val="000000"/>
          <w:sz w:val="21"/>
          <w:szCs w:val="21"/>
          <w:lang w:eastAsia="de-DE"/>
        </w:rPr>
        <w:t xml:space="preserve">Objekt zur Abbildung der primärtechnischen Funktionen des IED </w:t>
      </w:r>
    </w:p>
    <w:p w14:paraId="5AE43892" w14:textId="77777777" w:rsidR="00DA7821" w:rsidRPr="00DA7821" w:rsidRDefault="00DA7821" w:rsidP="00DA7821">
      <w:pPr>
        <w:numPr>
          <w:ilvl w:val="0"/>
          <w:numId w:val="2"/>
        </w:numPr>
        <w:spacing w:after="90" w:line="300" w:lineRule="atLeast"/>
        <w:ind w:left="675" w:right="1125"/>
        <w:jc w:val="both"/>
        <w:rPr>
          <w:rFonts w:ascii="Verdana" w:eastAsia="Times New Roman" w:hAnsi="Verdana" w:cs="Times New Roman"/>
          <w:color w:val="000000"/>
          <w:sz w:val="21"/>
          <w:szCs w:val="21"/>
          <w:lang w:eastAsia="de-DE"/>
        </w:rPr>
      </w:pPr>
      <w:r w:rsidRPr="00DA7821">
        <w:rPr>
          <w:rFonts w:ascii="Verdana" w:eastAsia="Times New Roman" w:hAnsi="Verdana" w:cs="Times New Roman"/>
          <w:b/>
          <w:bCs/>
          <w:color w:val="000000"/>
          <w:sz w:val="21"/>
          <w:szCs w:val="21"/>
          <w:lang w:eastAsia="de-DE"/>
        </w:rPr>
        <w:t>Logical Node Zero (LLN0):</w:t>
      </w:r>
      <w:r w:rsidRPr="00DA7821">
        <w:rPr>
          <w:rFonts w:ascii="Verdana" w:eastAsia="Times New Roman" w:hAnsi="Verdana" w:cs="Times New Roman"/>
          <w:color w:val="000000"/>
          <w:sz w:val="21"/>
          <w:szCs w:val="21"/>
          <w:lang w:eastAsia="de-DE"/>
        </w:rPr>
        <w:t xml:space="preserve"> steuert allgemeine Funktionen des Logical Device (muss immer vorhanden sein) </w:t>
      </w:r>
    </w:p>
    <w:p w14:paraId="005B1DBF" w14:textId="77777777" w:rsidR="00DA7821" w:rsidRPr="00DA7821" w:rsidRDefault="00DA7821" w:rsidP="00DA7821">
      <w:pPr>
        <w:numPr>
          <w:ilvl w:val="0"/>
          <w:numId w:val="2"/>
        </w:numPr>
        <w:spacing w:after="90" w:line="300" w:lineRule="atLeast"/>
        <w:ind w:left="675" w:right="1125"/>
        <w:jc w:val="both"/>
        <w:rPr>
          <w:rFonts w:ascii="Verdana" w:eastAsia="Times New Roman" w:hAnsi="Verdana" w:cs="Times New Roman"/>
          <w:color w:val="000000"/>
          <w:sz w:val="21"/>
          <w:szCs w:val="21"/>
          <w:lang w:eastAsia="de-DE"/>
        </w:rPr>
      </w:pPr>
      <w:r w:rsidRPr="00DA7821">
        <w:rPr>
          <w:rFonts w:ascii="Verdana" w:eastAsia="Times New Roman" w:hAnsi="Verdana" w:cs="Times New Roman"/>
          <w:b/>
          <w:bCs/>
          <w:color w:val="000000"/>
          <w:sz w:val="21"/>
          <w:szCs w:val="21"/>
          <w:lang w:eastAsia="de-DE"/>
        </w:rPr>
        <w:t>Logical Node Physical Device (LPHD):</w:t>
      </w:r>
      <w:r w:rsidRPr="00DA7821">
        <w:rPr>
          <w:rFonts w:ascii="Verdana" w:eastAsia="Times New Roman" w:hAnsi="Verdana" w:cs="Times New Roman"/>
          <w:color w:val="000000"/>
          <w:sz w:val="21"/>
          <w:szCs w:val="21"/>
          <w:lang w:eastAsia="de-DE"/>
        </w:rPr>
        <w:t xml:space="preserve"> enthält allgemeine Daten über das physikalische Gerät </w:t>
      </w:r>
    </w:p>
    <w:p w14:paraId="4290E0A8" w14:textId="77777777" w:rsidR="00DA7821" w:rsidRPr="00DA7821" w:rsidRDefault="00DA7821" w:rsidP="00DA7821">
      <w:pPr>
        <w:numPr>
          <w:ilvl w:val="0"/>
          <w:numId w:val="2"/>
        </w:numPr>
        <w:spacing w:after="90" w:line="300" w:lineRule="atLeast"/>
        <w:ind w:left="675" w:right="1125"/>
        <w:jc w:val="both"/>
        <w:rPr>
          <w:rFonts w:ascii="Verdana" w:eastAsia="Times New Roman" w:hAnsi="Verdana" w:cs="Times New Roman"/>
          <w:color w:val="000000"/>
          <w:sz w:val="21"/>
          <w:szCs w:val="21"/>
          <w:lang w:eastAsia="de-DE"/>
        </w:rPr>
      </w:pPr>
      <w:r w:rsidRPr="00DA7821">
        <w:rPr>
          <w:rFonts w:ascii="Verdana" w:eastAsia="Times New Roman" w:hAnsi="Verdana" w:cs="Times New Roman"/>
          <w:b/>
          <w:bCs/>
          <w:color w:val="000000"/>
          <w:sz w:val="21"/>
          <w:szCs w:val="21"/>
          <w:lang w:eastAsia="de-DE"/>
        </w:rPr>
        <w:t>ITCI-Knoten (ITCI node):</w:t>
      </w:r>
      <w:r w:rsidRPr="00DA7821">
        <w:rPr>
          <w:rFonts w:ascii="Verdana" w:eastAsia="Times New Roman" w:hAnsi="Verdana" w:cs="Times New Roman"/>
          <w:color w:val="000000"/>
          <w:sz w:val="21"/>
          <w:szCs w:val="21"/>
          <w:lang w:eastAsia="de-DE"/>
        </w:rPr>
        <w:t xml:space="preserve"> Telecontrol Interface Node, wird in IDS-Clients für das Mapping der IEC 61850 Objekte auf IEC 60870-5-104 Objekte verwendet </w:t>
      </w:r>
    </w:p>
    <w:p w14:paraId="4B0776AE" w14:textId="77777777" w:rsidR="00DA7821" w:rsidRPr="00DA7821" w:rsidRDefault="00DA7821" w:rsidP="00DA7821">
      <w:pPr>
        <w:numPr>
          <w:ilvl w:val="0"/>
          <w:numId w:val="2"/>
        </w:numPr>
        <w:spacing w:after="90" w:line="300" w:lineRule="atLeast"/>
        <w:ind w:left="675" w:right="1125"/>
        <w:jc w:val="both"/>
        <w:rPr>
          <w:rFonts w:ascii="Verdana" w:eastAsia="Times New Roman" w:hAnsi="Verdana" w:cs="Times New Roman"/>
          <w:color w:val="000000"/>
          <w:sz w:val="21"/>
          <w:szCs w:val="21"/>
          <w:lang w:eastAsia="de-DE"/>
        </w:rPr>
      </w:pPr>
      <w:r w:rsidRPr="00DA7821">
        <w:rPr>
          <w:rFonts w:ascii="Verdana" w:eastAsia="Times New Roman" w:hAnsi="Verdana" w:cs="Times New Roman"/>
          <w:b/>
          <w:bCs/>
          <w:color w:val="000000"/>
          <w:sz w:val="21"/>
          <w:szCs w:val="21"/>
          <w:lang w:eastAsia="de-DE"/>
        </w:rPr>
        <w:t>DataSet:</w:t>
      </w:r>
      <w:r w:rsidRPr="00DA7821">
        <w:rPr>
          <w:rFonts w:ascii="Verdana" w:eastAsia="Times New Roman" w:hAnsi="Verdana" w:cs="Times New Roman"/>
          <w:color w:val="000000"/>
          <w:sz w:val="21"/>
          <w:szCs w:val="21"/>
          <w:lang w:eastAsia="de-DE"/>
        </w:rPr>
        <w:t xml:space="preserve"> Liste mit den zu übertragenden Daten-Objekten/Attributen, statische DataSets sind im Server vorkonfiguriert, dynamische DataSets werden vom Client zur Laufzeit angelegt. </w:t>
      </w:r>
    </w:p>
    <w:p w14:paraId="7860DDC7" w14:textId="77777777" w:rsidR="00DA7821" w:rsidRPr="00DA7821" w:rsidRDefault="00DA7821" w:rsidP="00DA7821">
      <w:pPr>
        <w:numPr>
          <w:ilvl w:val="0"/>
          <w:numId w:val="2"/>
        </w:numPr>
        <w:spacing w:after="90" w:line="300" w:lineRule="atLeast"/>
        <w:ind w:left="675" w:right="1125"/>
        <w:jc w:val="both"/>
        <w:rPr>
          <w:rFonts w:ascii="Verdana" w:eastAsia="Times New Roman" w:hAnsi="Verdana" w:cs="Times New Roman"/>
          <w:color w:val="000000"/>
          <w:sz w:val="21"/>
          <w:szCs w:val="21"/>
          <w:lang w:eastAsia="de-DE"/>
        </w:rPr>
      </w:pPr>
      <w:r w:rsidRPr="00DA7821">
        <w:rPr>
          <w:rFonts w:ascii="Verdana" w:eastAsia="Times New Roman" w:hAnsi="Verdana" w:cs="Times New Roman"/>
          <w:b/>
          <w:bCs/>
          <w:color w:val="000000"/>
          <w:sz w:val="21"/>
          <w:szCs w:val="21"/>
          <w:lang w:eastAsia="de-DE"/>
        </w:rPr>
        <w:t xml:space="preserve">Report Control Blocks (RCB): </w:t>
      </w:r>
      <w:r w:rsidRPr="00DA7821">
        <w:rPr>
          <w:rFonts w:ascii="Verdana" w:eastAsia="Times New Roman" w:hAnsi="Verdana" w:cs="Times New Roman"/>
          <w:color w:val="000000"/>
          <w:sz w:val="21"/>
          <w:szCs w:val="21"/>
          <w:lang w:eastAsia="de-DE"/>
        </w:rPr>
        <w:t xml:space="preserve">Über die Report Control Blocks wird festgelegt, wann eine Übertragung des in dem RCB referenzierten DataSet stattfinden soll (z.B. bei Änderung, periodisch) </w:t>
      </w:r>
    </w:p>
    <w:p w14:paraId="37292310" w14:textId="77777777" w:rsidR="00DA7821" w:rsidRPr="00DA7821" w:rsidRDefault="00DA7821" w:rsidP="00DA7821">
      <w:pPr>
        <w:numPr>
          <w:ilvl w:val="0"/>
          <w:numId w:val="2"/>
        </w:numPr>
        <w:spacing w:after="90" w:line="300" w:lineRule="atLeast"/>
        <w:ind w:left="675" w:right="1125"/>
        <w:jc w:val="both"/>
        <w:rPr>
          <w:rFonts w:ascii="Verdana" w:eastAsia="Times New Roman" w:hAnsi="Verdana" w:cs="Times New Roman"/>
          <w:color w:val="000000"/>
          <w:sz w:val="21"/>
          <w:szCs w:val="21"/>
          <w:lang w:eastAsia="de-DE"/>
        </w:rPr>
      </w:pPr>
      <w:r w:rsidRPr="00DA7821">
        <w:rPr>
          <w:rFonts w:ascii="Verdana" w:eastAsia="Times New Roman" w:hAnsi="Verdana" w:cs="Times New Roman"/>
          <w:b/>
          <w:bCs/>
          <w:color w:val="000000"/>
          <w:sz w:val="21"/>
          <w:szCs w:val="21"/>
          <w:lang w:eastAsia="de-DE"/>
        </w:rPr>
        <w:t>Manufacturing Messaging Specification (MMS):</w:t>
      </w:r>
      <w:r w:rsidRPr="00DA7821">
        <w:rPr>
          <w:rFonts w:ascii="Verdana" w:eastAsia="Times New Roman" w:hAnsi="Verdana" w:cs="Times New Roman"/>
          <w:color w:val="000000"/>
          <w:sz w:val="21"/>
          <w:szCs w:val="21"/>
          <w:lang w:eastAsia="de-DE"/>
        </w:rPr>
        <w:t xml:space="preserve"> Protokoll, das für die Client-Server-Kommunikation auf Netzwerk-Ebene benutzt wird </w:t>
      </w:r>
    </w:p>
    <w:p w14:paraId="4032FBBF" w14:textId="77777777" w:rsidR="00DA7821" w:rsidRPr="00DA7821" w:rsidRDefault="00DA7821" w:rsidP="00DA7821">
      <w:pPr>
        <w:numPr>
          <w:ilvl w:val="0"/>
          <w:numId w:val="2"/>
        </w:numPr>
        <w:spacing w:after="90" w:line="300" w:lineRule="atLeast"/>
        <w:ind w:left="675" w:right="1125"/>
        <w:jc w:val="both"/>
        <w:rPr>
          <w:rFonts w:ascii="Verdana" w:eastAsia="Times New Roman" w:hAnsi="Verdana" w:cs="Times New Roman"/>
          <w:color w:val="000000"/>
          <w:sz w:val="21"/>
          <w:szCs w:val="21"/>
          <w:lang w:eastAsia="de-DE"/>
        </w:rPr>
      </w:pPr>
      <w:r w:rsidRPr="00DA7821">
        <w:rPr>
          <w:rFonts w:ascii="Verdana" w:eastAsia="Times New Roman" w:hAnsi="Verdana" w:cs="Times New Roman"/>
          <w:b/>
          <w:bCs/>
          <w:color w:val="000000"/>
          <w:sz w:val="21"/>
          <w:szCs w:val="21"/>
          <w:lang w:eastAsia="de-DE"/>
        </w:rPr>
        <w:t>DataTypeTemplates:</w:t>
      </w:r>
      <w:r w:rsidRPr="00DA7821">
        <w:rPr>
          <w:rFonts w:ascii="Verdana" w:eastAsia="Times New Roman" w:hAnsi="Verdana" w:cs="Times New Roman"/>
          <w:color w:val="000000"/>
          <w:sz w:val="21"/>
          <w:szCs w:val="21"/>
          <w:lang w:eastAsia="de-DE"/>
        </w:rPr>
        <w:t xml:space="preserve"> Typbibliothek innerhalb einer SCD/ICD/CID-Datei, enthält die spezifische Ausprägung der durch die Norm vordefinierten Objekte (Logical Nodes, DataObjects, DataAttributes, Enumerationen) </w:t>
      </w:r>
    </w:p>
    <w:p w14:paraId="7EF0AD8B" w14:textId="77777777" w:rsidR="00DA7821" w:rsidRPr="00DA7821" w:rsidRDefault="00DA7821" w:rsidP="00DA7821">
      <w:pPr>
        <w:numPr>
          <w:ilvl w:val="0"/>
          <w:numId w:val="2"/>
        </w:numPr>
        <w:spacing w:after="90" w:line="300" w:lineRule="atLeast"/>
        <w:ind w:left="675" w:right="1125"/>
        <w:jc w:val="both"/>
        <w:rPr>
          <w:rFonts w:ascii="Verdana" w:eastAsia="Times New Roman" w:hAnsi="Verdana" w:cs="Times New Roman"/>
          <w:color w:val="000000"/>
          <w:sz w:val="21"/>
          <w:szCs w:val="21"/>
          <w:lang w:eastAsia="de-DE"/>
        </w:rPr>
      </w:pPr>
      <w:r w:rsidRPr="00DA7821">
        <w:rPr>
          <w:rFonts w:ascii="Verdana" w:eastAsia="Times New Roman" w:hAnsi="Verdana" w:cs="Times New Roman"/>
          <w:b/>
          <w:bCs/>
          <w:color w:val="000000"/>
          <w:sz w:val="21"/>
          <w:szCs w:val="21"/>
          <w:lang w:eastAsia="de-DE"/>
        </w:rPr>
        <w:t>ICD-Datei:</w:t>
      </w:r>
      <w:r w:rsidRPr="00DA7821">
        <w:rPr>
          <w:rFonts w:ascii="Verdana" w:eastAsia="Times New Roman" w:hAnsi="Verdana" w:cs="Times New Roman"/>
          <w:color w:val="000000"/>
          <w:sz w:val="21"/>
          <w:szCs w:val="21"/>
          <w:lang w:eastAsia="de-DE"/>
        </w:rPr>
        <w:t xml:space="preserve"> IED Capacity Description: SCL-Datei, die ein IED-Element zur Beschreibung des sekundärtechnischen Geräts enthält </w:t>
      </w:r>
    </w:p>
    <w:p w14:paraId="723EA18F" w14:textId="77777777" w:rsidR="00DA7821" w:rsidRPr="00DA7821" w:rsidRDefault="00DA7821" w:rsidP="00DA7821">
      <w:pPr>
        <w:numPr>
          <w:ilvl w:val="0"/>
          <w:numId w:val="2"/>
        </w:numPr>
        <w:spacing w:after="90" w:line="300" w:lineRule="atLeast"/>
        <w:ind w:left="675" w:right="1125"/>
        <w:jc w:val="both"/>
        <w:rPr>
          <w:rFonts w:ascii="Verdana" w:eastAsia="Times New Roman" w:hAnsi="Verdana" w:cs="Times New Roman"/>
          <w:color w:val="000000"/>
          <w:sz w:val="21"/>
          <w:szCs w:val="21"/>
          <w:lang w:eastAsia="de-DE"/>
        </w:rPr>
      </w:pPr>
      <w:r w:rsidRPr="00DA7821">
        <w:rPr>
          <w:rFonts w:ascii="Verdana" w:eastAsia="Times New Roman" w:hAnsi="Verdana" w:cs="Times New Roman"/>
          <w:b/>
          <w:bCs/>
          <w:color w:val="000000"/>
          <w:sz w:val="21"/>
          <w:szCs w:val="21"/>
          <w:lang w:eastAsia="de-DE"/>
        </w:rPr>
        <w:t>CID Date:</w:t>
      </w:r>
      <w:r w:rsidRPr="00DA7821">
        <w:rPr>
          <w:rFonts w:ascii="Verdana" w:eastAsia="Times New Roman" w:hAnsi="Verdana" w:cs="Times New Roman"/>
          <w:color w:val="000000"/>
          <w:sz w:val="21"/>
          <w:szCs w:val="21"/>
          <w:lang w:eastAsia="de-DE"/>
        </w:rPr>
        <w:t xml:space="preserve"> Configured IED Description: Datei mit den vollständigen Konfigurationsdaten eines IED, entsteht aus der ICD-Datei durch Hinzufügen der Konfigurationseinstellungen für die konkrete Geräteinstanz </w:t>
      </w:r>
    </w:p>
    <w:p w14:paraId="67C8D2B9" w14:textId="77777777" w:rsidR="00DA7821" w:rsidRPr="00DA7821" w:rsidRDefault="00DA7821" w:rsidP="00DA7821">
      <w:pPr>
        <w:numPr>
          <w:ilvl w:val="0"/>
          <w:numId w:val="2"/>
        </w:numPr>
        <w:spacing w:line="300" w:lineRule="atLeast"/>
        <w:ind w:left="675" w:right="1125"/>
        <w:jc w:val="both"/>
        <w:rPr>
          <w:rFonts w:ascii="Verdana" w:eastAsia="Times New Roman" w:hAnsi="Verdana" w:cs="Times New Roman"/>
          <w:color w:val="000000"/>
          <w:sz w:val="21"/>
          <w:szCs w:val="21"/>
          <w:lang w:eastAsia="de-DE"/>
        </w:rPr>
      </w:pPr>
      <w:r w:rsidRPr="00DA7821">
        <w:rPr>
          <w:rFonts w:ascii="Verdana" w:eastAsia="Times New Roman" w:hAnsi="Verdana" w:cs="Times New Roman"/>
          <w:b/>
          <w:bCs/>
          <w:color w:val="000000"/>
          <w:sz w:val="21"/>
          <w:szCs w:val="21"/>
          <w:lang w:eastAsia="de-DE"/>
        </w:rPr>
        <w:t>GOOSE:</w:t>
      </w:r>
      <w:r w:rsidRPr="00DA7821">
        <w:rPr>
          <w:rFonts w:ascii="Verdana" w:eastAsia="Times New Roman" w:hAnsi="Verdana" w:cs="Times New Roman"/>
          <w:color w:val="000000"/>
          <w:sz w:val="21"/>
          <w:szCs w:val="21"/>
          <w:lang w:eastAsia="de-DE"/>
        </w:rPr>
        <w:t xml:space="preserve"> Generic Object Oriented Substation Events (GOOSE): echtzeitfähiges Netzwerkprotokoll für die Peer-to-Peer-Kommunikation zwischen IEDs, das im Standard IEC 61850 spezifiziert ist </w:t>
      </w:r>
    </w:p>
    <w:p w14:paraId="1E48F314" w14:textId="77777777" w:rsidR="00DA7821" w:rsidRPr="00DA7821" w:rsidRDefault="00DA7821" w:rsidP="00DA7821">
      <w:pPr>
        <w:shd w:val="clear" w:color="auto" w:fill="C5CDFC"/>
        <w:spacing w:after="0" w:line="480" w:lineRule="auto"/>
        <w:jc w:val="center"/>
        <w:textAlignment w:val="center"/>
        <w:rPr>
          <w:rFonts w:ascii="Verdana" w:eastAsia="Times New Roman" w:hAnsi="Verdana" w:cs="Times New Roman"/>
          <w:color w:val="003299"/>
          <w:sz w:val="23"/>
          <w:szCs w:val="23"/>
          <w:lang w:eastAsia="de-DE"/>
        </w:rPr>
      </w:pPr>
      <w:r w:rsidRPr="00DA7821">
        <w:rPr>
          <w:rFonts w:ascii="Verdana" w:eastAsia="Times New Roman" w:hAnsi="Verdana" w:cs="Times New Roman"/>
          <w:color w:val="003299"/>
          <w:sz w:val="23"/>
          <w:szCs w:val="23"/>
          <w:lang w:eastAsia="de-DE"/>
        </w:rPr>
        <w:t xml:space="preserve">© 2018 IDS GmbH, D-76275 Ettlingen </w:t>
      </w:r>
    </w:p>
    <w:p w14:paraId="6FA20102" w14:textId="77777777" w:rsidR="00DA7821" w:rsidRPr="00DA7821" w:rsidRDefault="00DA7821" w:rsidP="00DA7821">
      <w:pPr>
        <w:spacing w:after="100" w:line="300" w:lineRule="atLeast"/>
        <w:jc w:val="both"/>
        <w:rPr>
          <w:rFonts w:ascii="Verdana" w:eastAsia="Times New Roman" w:hAnsi="Verdana" w:cs="Times New Roman"/>
          <w:color w:val="000000"/>
          <w:sz w:val="21"/>
          <w:szCs w:val="21"/>
          <w:lang w:eastAsia="de-DE"/>
        </w:rPr>
      </w:pPr>
      <w:r w:rsidRPr="00DA7821">
        <w:rPr>
          <w:rFonts w:ascii="Verdana" w:eastAsia="Times New Roman" w:hAnsi="Verdana" w:cs="Times New Roman"/>
          <w:color w:val="000000"/>
          <w:sz w:val="21"/>
          <w:szCs w:val="21"/>
          <w:lang w:eastAsia="de-DE"/>
        </w:rPr>
        <w:pict w14:anchorId="1D98AB97">
          <v:rect id="_x0000_i1026"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626"/>
        <w:gridCol w:w="1820"/>
        <w:gridCol w:w="3626"/>
      </w:tblGrid>
      <w:tr w:rsidR="00DA7821" w:rsidRPr="00DA7821" w14:paraId="4704A980" w14:textId="77777777" w:rsidTr="00DA7821">
        <w:trPr>
          <w:tblCellSpacing w:w="15" w:type="dxa"/>
        </w:trPr>
        <w:tc>
          <w:tcPr>
            <w:tcW w:w="2000" w:type="pct"/>
            <w:vAlign w:val="center"/>
            <w:hideMark/>
          </w:tcPr>
          <w:p w14:paraId="350D9327" w14:textId="77777777" w:rsidR="00DA7821" w:rsidRPr="00DA7821" w:rsidRDefault="00DA7821" w:rsidP="00DA7821">
            <w:pPr>
              <w:spacing w:after="0" w:line="300" w:lineRule="atLeast"/>
              <w:rPr>
                <w:rFonts w:ascii="Verdana" w:eastAsia="Times New Roman" w:hAnsi="Verdana" w:cs="Times New Roman"/>
                <w:color w:val="000000"/>
                <w:sz w:val="17"/>
                <w:szCs w:val="17"/>
                <w:lang w:eastAsia="de-DE"/>
              </w:rPr>
            </w:pPr>
            <w:hyperlink r:id="rId9" w:history="1">
              <w:r w:rsidRPr="00DA7821">
                <w:rPr>
                  <w:rFonts w:ascii="Times New Roman" w:eastAsia="Times New Roman" w:hAnsi="Times New Roman" w:cs="Times New Roman"/>
                  <w:color w:val="0000FF"/>
                  <w:sz w:val="17"/>
                  <w:szCs w:val="17"/>
                  <w:u w:val="single"/>
                  <w:lang w:eastAsia="de-DE"/>
                </w:rPr>
                <w:t>Zurück</w:t>
              </w:r>
            </w:hyperlink>
            <w:r w:rsidRPr="00DA7821">
              <w:rPr>
                <w:rFonts w:ascii="Verdana" w:eastAsia="Times New Roman" w:hAnsi="Verdana" w:cs="Times New Roman"/>
                <w:color w:val="000000"/>
                <w:sz w:val="17"/>
                <w:szCs w:val="17"/>
                <w:lang w:eastAsia="de-DE"/>
              </w:rPr>
              <w:t xml:space="preserve">  </w:t>
            </w:r>
          </w:p>
        </w:tc>
        <w:tc>
          <w:tcPr>
            <w:tcW w:w="1000" w:type="pct"/>
            <w:vAlign w:val="center"/>
            <w:hideMark/>
          </w:tcPr>
          <w:p w14:paraId="64D30885" w14:textId="77777777" w:rsidR="00DA7821" w:rsidRPr="00DA7821" w:rsidRDefault="00DA7821" w:rsidP="00DA7821">
            <w:pPr>
              <w:spacing w:after="0" w:line="300" w:lineRule="atLeast"/>
              <w:jc w:val="center"/>
              <w:rPr>
                <w:rFonts w:ascii="Verdana" w:eastAsia="Times New Roman" w:hAnsi="Verdana" w:cs="Times New Roman"/>
                <w:color w:val="000000"/>
                <w:sz w:val="17"/>
                <w:szCs w:val="17"/>
                <w:lang w:eastAsia="de-DE"/>
              </w:rPr>
            </w:pPr>
            <w:r w:rsidRPr="00DA7821">
              <w:rPr>
                <w:rFonts w:ascii="Verdana" w:eastAsia="Times New Roman" w:hAnsi="Verdana" w:cs="Times New Roman"/>
                <w:color w:val="000000"/>
                <w:sz w:val="17"/>
                <w:szCs w:val="17"/>
                <w:lang w:eastAsia="de-DE"/>
              </w:rPr>
              <w:t> </w:t>
            </w:r>
          </w:p>
        </w:tc>
        <w:tc>
          <w:tcPr>
            <w:tcW w:w="2000" w:type="pct"/>
            <w:vAlign w:val="center"/>
            <w:hideMark/>
          </w:tcPr>
          <w:p w14:paraId="0EFACFDA" w14:textId="77777777" w:rsidR="00DA7821" w:rsidRPr="00DA7821" w:rsidRDefault="00DA7821" w:rsidP="00DA7821">
            <w:pPr>
              <w:spacing w:after="0" w:line="300" w:lineRule="atLeast"/>
              <w:jc w:val="right"/>
              <w:rPr>
                <w:rFonts w:ascii="Verdana" w:eastAsia="Times New Roman" w:hAnsi="Verdana" w:cs="Times New Roman"/>
                <w:color w:val="000000"/>
                <w:sz w:val="17"/>
                <w:szCs w:val="17"/>
                <w:lang w:eastAsia="de-DE"/>
              </w:rPr>
            </w:pPr>
            <w:r w:rsidRPr="00DA7821">
              <w:rPr>
                <w:rFonts w:ascii="Verdana" w:eastAsia="Times New Roman" w:hAnsi="Verdana" w:cs="Times New Roman"/>
                <w:color w:val="000000"/>
                <w:sz w:val="17"/>
                <w:szCs w:val="17"/>
                <w:lang w:eastAsia="de-DE"/>
              </w:rPr>
              <w:t> </w:t>
            </w:r>
            <w:hyperlink r:id="rId10" w:history="1">
              <w:r w:rsidRPr="00DA7821">
                <w:rPr>
                  <w:rFonts w:ascii="Times New Roman" w:eastAsia="Times New Roman" w:hAnsi="Times New Roman" w:cs="Times New Roman"/>
                  <w:color w:val="0000FF"/>
                  <w:sz w:val="17"/>
                  <w:szCs w:val="17"/>
                  <w:u w:val="single"/>
                  <w:lang w:eastAsia="de-DE"/>
                </w:rPr>
                <w:t>Weiter</w:t>
              </w:r>
            </w:hyperlink>
          </w:p>
        </w:tc>
      </w:tr>
      <w:tr w:rsidR="00DA7821" w:rsidRPr="00DA7821" w14:paraId="58F6F79C" w14:textId="77777777" w:rsidTr="00DA7821">
        <w:trPr>
          <w:tblCellSpacing w:w="15" w:type="dxa"/>
        </w:trPr>
        <w:tc>
          <w:tcPr>
            <w:tcW w:w="2000" w:type="pct"/>
            <w:hideMark/>
          </w:tcPr>
          <w:p w14:paraId="18E75C09" w14:textId="77777777" w:rsidR="00DA7821" w:rsidRPr="00DA7821" w:rsidRDefault="00DA7821" w:rsidP="00DA7821">
            <w:pPr>
              <w:spacing w:after="0" w:line="300" w:lineRule="atLeast"/>
              <w:rPr>
                <w:rFonts w:ascii="Verdana" w:eastAsia="Times New Roman" w:hAnsi="Verdana" w:cs="Times New Roman"/>
                <w:color w:val="000000"/>
                <w:sz w:val="17"/>
                <w:szCs w:val="17"/>
                <w:lang w:eastAsia="de-DE"/>
              </w:rPr>
            </w:pPr>
            <w:r w:rsidRPr="00DA7821">
              <w:rPr>
                <w:rFonts w:ascii="Verdana" w:eastAsia="Times New Roman" w:hAnsi="Verdana" w:cs="Times New Roman"/>
                <w:color w:val="000000"/>
                <w:sz w:val="17"/>
                <w:szCs w:val="17"/>
                <w:lang w:eastAsia="de-DE"/>
              </w:rPr>
              <w:t>14. SNMPv3 Agent (IT-SEC, nur Gerät ACOS 730) </w:t>
            </w:r>
          </w:p>
        </w:tc>
        <w:tc>
          <w:tcPr>
            <w:tcW w:w="1000" w:type="pct"/>
            <w:vAlign w:val="center"/>
            <w:hideMark/>
          </w:tcPr>
          <w:p w14:paraId="7EC27226" w14:textId="77777777" w:rsidR="00DA7821" w:rsidRPr="00DA7821" w:rsidRDefault="00DA7821" w:rsidP="00DA7821">
            <w:pPr>
              <w:spacing w:after="0" w:line="300" w:lineRule="atLeast"/>
              <w:jc w:val="center"/>
              <w:rPr>
                <w:rFonts w:ascii="Verdana" w:eastAsia="Times New Roman" w:hAnsi="Verdana" w:cs="Times New Roman"/>
                <w:color w:val="000000"/>
                <w:sz w:val="17"/>
                <w:szCs w:val="17"/>
                <w:lang w:eastAsia="de-DE"/>
              </w:rPr>
            </w:pPr>
            <w:hyperlink r:id="rId11" w:history="1">
              <w:r w:rsidRPr="00DA7821">
                <w:rPr>
                  <w:rFonts w:ascii="Times New Roman" w:eastAsia="Times New Roman" w:hAnsi="Times New Roman" w:cs="Times New Roman"/>
                  <w:color w:val="0000FF"/>
                  <w:sz w:val="17"/>
                  <w:szCs w:val="17"/>
                  <w:u w:val="single"/>
                  <w:lang w:eastAsia="de-DE"/>
                </w:rPr>
                <w:t>Zum Anfang</w:t>
              </w:r>
            </w:hyperlink>
          </w:p>
        </w:tc>
        <w:tc>
          <w:tcPr>
            <w:tcW w:w="2000" w:type="pct"/>
            <w:hideMark/>
          </w:tcPr>
          <w:p w14:paraId="04A21471" w14:textId="77777777" w:rsidR="00DA7821" w:rsidRPr="00DA7821" w:rsidRDefault="00DA7821" w:rsidP="00DA7821">
            <w:pPr>
              <w:spacing w:after="0" w:line="300" w:lineRule="atLeast"/>
              <w:jc w:val="right"/>
              <w:rPr>
                <w:rFonts w:ascii="Verdana" w:eastAsia="Times New Roman" w:hAnsi="Verdana" w:cs="Times New Roman"/>
                <w:color w:val="000000"/>
                <w:sz w:val="17"/>
                <w:szCs w:val="17"/>
                <w:lang w:eastAsia="de-DE"/>
              </w:rPr>
            </w:pPr>
            <w:r w:rsidRPr="00DA7821">
              <w:rPr>
                <w:rFonts w:ascii="Verdana" w:eastAsia="Times New Roman" w:hAnsi="Verdana" w:cs="Times New Roman"/>
                <w:color w:val="000000"/>
                <w:sz w:val="17"/>
                <w:szCs w:val="17"/>
                <w:lang w:eastAsia="de-DE"/>
              </w:rPr>
              <w:t xml:space="preserve"> 2. Grundlagen </w:t>
            </w:r>
          </w:p>
        </w:tc>
      </w:tr>
    </w:tbl>
    <w:p w14:paraId="76F1C2C5" w14:textId="5FD7A7B3" w:rsidR="00FC5013" w:rsidRDefault="00FC5013"/>
    <w:p w14:paraId="6F496414" w14:textId="77777777" w:rsidR="00FC5013" w:rsidRDefault="00FC5013">
      <w:r>
        <w:br w:type="page"/>
      </w:r>
    </w:p>
    <w:p w14:paraId="6FE64851" w14:textId="77777777" w:rsidR="00FC5013" w:rsidRPr="00FC5013" w:rsidRDefault="00FC5013" w:rsidP="00FC5013">
      <w:pPr>
        <w:spacing w:line="300" w:lineRule="atLeast"/>
        <w:jc w:val="both"/>
        <w:rPr>
          <w:rFonts w:ascii="Verdana" w:hAnsi="Verdana"/>
          <w:sz w:val="21"/>
          <w:szCs w:val="21"/>
          <w:lang w:val="en-GB"/>
        </w:rPr>
      </w:pPr>
      <w:hyperlink r:id="rId12" w:history="1">
        <w:r w:rsidRPr="00FC5013">
          <w:rPr>
            <w:rStyle w:val="Hyperlink"/>
            <w:sz w:val="21"/>
            <w:szCs w:val="21"/>
            <w:lang w:val="en-GB"/>
          </w:rPr>
          <w:t>ACOS ET Engineeringtool</w:t>
        </w:r>
      </w:hyperlink>
      <w:r w:rsidRPr="00FC5013">
        <w:rPr>
          <w:rFonts w:ascii="Verdana" w:hAnsi="Verdana"/>
          <w:sz w:val="21"/>
          <w:szCs w:val="21"/>
          <w:lang w:val="en-GB"/>
        </w:rPr>
        <w:t xml:space="preserve"> &gt; </w:t>
      </w:r>
      <w:hyperlink r:id="rId13" w:history="1">
        <w:r w:rsidRPr="00FC5013">
          <w:rPr>
            <w:rStyle w:val="Hyperlink"/>
            <w:sz w:val="21"/>
            <w:szCs w:val="21"/>
            <w:lang w:val="en-GB"/>
          </w:rPr>
          <w:t>IEC 61850 Engineering</w:t>
        </w:r>
      </w:hyperlink>
    </w:p>
    <w:p w14:paraId="707147BB" w14:textId="77777777" w:rsidR="00FC5013" w:rsidRPr="00FC5013" w:rsidRDefault="00FC5013" w:rsidP="00FC5013">
      <w:pPr>
        <w:shd w:val="clear" w:color="auto" w:fill="C5CDFC"/>
        <w:spacing w:line="480" w:lineRule="auto"/>
        <w:jc w:val="center"/>
        <w:textAlignment w:val="center"/>
        <w:rPr>
          <w:rFonts w:ascii="Verdana" w:hAnsi="Verdana"/>
          <w:color w:val="003299"/>
          <w:sz w:val="23"/>
          <w:szCs w:val="23"/>
          <w:lang w:val="en-GB"/>
        </w:rPr>
      </w:pPr>
      <w:r w:rsidRPr="00FC5013">
        <w:rPr>
          <w:rFonts w:ascii="Verdana" w:hAnsi="Verdana"/>
          <w:color w:val="003299"/>
          <w:sz w:val="23"/>
          <w:szCs w:val="23"/>
          <w:lang w:val="en-GB"/>
        </w:rPr>
        <w:t xml:space="preserve">ACOS ET </w:t>
      </w:r>
    </w:p>
    <w:p w14:paraId="44D9B7F6" w14:textId="77777777" w:rsidR="00FC5013" w:rsidRDefault="00FC5013" w:rsidP="00FC5013">
      <w:pPr>
        <w:pStyle w:val="berschrift2"/>
        <w:spacing w:line="300" w:lineRule="atLeast"/>
        <w:jc w:val="both"/>
        <w:rPr>
          <w:sz w:val="26"/>
          <w:szCs w:val="26"/>
        </w:rPr>
      </w:pPr>
      <w:bookmarkStart w:id="2" w:name="SCD_61850_grund"/>
      <w:bookmarkEnd w:id="2"/>
      <w:r>
        <w:rPr>
          <w:sz w:val="26"/>
          <w:szCs w:val="26"/>
        </w:rPr>
        <w:t xml:space="preserve">2. Grundlagen </w:t>
      </w:r>
    </w:p>
    <w:p w14:paraId="6F7328EA" w14:textId="17261359" w:rsidR="00FC5013" w:rsidRDefault="00FC5013" w:rsidP="00FC5013">
      <w:pPr>
        <w:pStyle w:val="StandardWeb"/>
        <w:jc w:val="both"/>
      </w:pPr>
      <w:r>
        <w:t xml:space="preserve">Die IEC 61850 Engineering-Daten werden in ACOS ET in einem eigenen Fenster, der IEC 61850-Ansicht, als Baum dargestellt, Dieses ist aufschaltbar über den Button </w:t>
      </w:r>
      <w:r>
        <w:rPr>
          <w:noProof/>
        </w:rPr>
        <w:drawing>
          <wp:inline distT="0" distB="0" distL="0" distR="0" wp14:anchorId="558C7306" wp14:editId="4758078A">
            <wp:extent cx="133350" cy="133350"/>
            <wp:effectExtent l="0" t="0" r="0" b="0"/>
            <wp:docPr id="5" name="Grafik 5" descr="http://127.0.0.1:61023/help/topic/de.ids.acos.et.help.eng/html/figure/ic_6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27.0.0.1:61023/help/topic/de.ids.acos.et.help.eng/html/figure/ic_6185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IEC 61850 auf der Multifunktionsleiste (Registerkarte "Ansichten"). Dadurch erhält man einen guten Überblick über die Anlagenkonfiguration. Durch Doppelklick auf einen Knoten wird entweder ein Knoten-spezifischer Editor (roter Pfeil) oder die Eigenschaften-Ansicht (blauer Pfeil) aufgeschaltet. Darin werden die Attribute des Knotens dargestellt und können - soweit nicht von der Norm fest vorgegeben - angepasst werden. </w:t>
      </w:r>
    </w:p>
    <w:p w14:paraId="2FF57CF7" w14:textId="77777777" w:rsidR="00FC5013" w:rsidRDefault="00FC5013" w:rsidP="00FC5013">
      <w:pPr>
        <w:pStyle w:val="StandardWeb"/>
        <w:jc w:val="both"/>
      </w:pPr>
      <w:r>
        <w:t xml:space="preserve">Über ein Kontextmenü (rechter Mausklick auf einen Knoten)  können weitere Knoten-spezifische Funktionen aufgerufen werden. </w:t>
      </w:r>
    </w:p>
    <w:p w14:paraId="77C7CF31" w14:textId="2E17A348" w:rsidR="00FC5013" w:rsidRDefault="00FC5013" w:rsidP="00FC5013">
      <w:pPr>
        <w:spacing w:line="300" w:lineRule="atLeast"/>
        <w:jc w:val="center"/>
        <w:rPr>
          <w:rFonts w:ascii="Verdana" w:hAnsi="Verdana"/>
          <w:sz w:val="21"/>
          <w:szCs w:val="21"/>
        </w:rPr>
      </w:pPr>
      <w:bookmarkStart w:id="3" w:name="d0e22696"/>
      <w:bookmarkEnd w:id="3"/>
      <w:r>
        <w:rPr>
          <w:rFonts w:ascii="Verdana" w:hAnsi="Verdana"/>
          <w:noProof/>
          <w:sz w:val="21"/>
          <w:szCs w:val="21"/>
        </w:rPr>
        <w:drawing>
          <wp:inline distT="0" distB="0" distL="0" distR="0" wp14:anchorId="0825879F" wp14:editId="21F0CDE6">
            <wp:extent cx="9753600" cy="7315200"/>
            <wp:effectExtent l="0" t="0" r="0" b="0"/>
            <wp:docPr id="4" name="Grafik 4" descr="Eigenschaften Ansicht (hier am Beispiel des Elements IED:IED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genschaften Ansicht (hier am Beispiel des Elements IED:IED0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4764853C" w14:textId="77777777" w:rsidR="00FC5013" w:rsidRDefault="00FC5013" w:rsidP="00FC5013">
      <w:pPr>
        <w:spacing w:after="90" w:line="300" w:lineRule="atLeast"/>
        <w:ind w:left="225" w:right="225"/>
        <w:jc w:val="center"/>
        <w:rPr>
          <w:rFonts w:ascii="Verdana" w:hAnsi="Verdana"/>
          <w:sz w:val="19"/>
          <w:szCs w:val="19"/>
        </w:rPr>
      </w:pPr>
      <w:r>
        <w:rPr>
          <w:rFonts w:ascii="Verdana" w:hAnsi="Verdana"/>
          <w:b/>
          <w:bCs/>
          <w:sz w:val="19"/>
          <w:szCs w:val="19"/>
        </w:rPr>
        <w:t>Eigenschaften Ansicht (hier am Beispiel des Elements IED:IED0001)</w:t>
      </w:r>
    </w:p>
    <w:p w14:paraId="76582124" w14:textId="77777777" w:rsidR="00FC5013" w:rsidRDefault="00FC5013" w:rsidP="00FC5013">
      <w:pPr>
        <w:spacing w:after="0" w:line="300" w:lineRule="atLeast"/>
        <w:jc w:val="both"/>
        <w:rPr>
          <w:rFonts w:ascii="Verdana" w:hAnsi="Verdana"/>
          <w:sz w:val="21"/>
          <w:szCs w:val="21"/>
        </w:rPr>
      </w:pPr>
    </w:p>
    <w:p w14:paraId="2DFC53D2" w14:textId="73144E6C" w:rsidR="00FC5013" w:rsidRDefault="00FC5013" w:rsidP="00FC5013">
      <w:pPr>
        <w:pStyle w:val="StandardWeb"/>
        <w:jc w:val="both"/>
      </w:pPr>
      <w:r>
        <w:t xml:space="preserve">Die Eigenschaften-Ansicht ist außerdem über den Button </w:t>
      </w:r>
      <w:r>
        <w:rPr>
          <w:noProof/>
        </w:rPr>
        <w:drawing>
          <wp:inline distT="0" distB="0" distL="0" distR="0" wp14:anchorId="22D09B75" wp14:editId="1E67116D">
            <wp:extent cx="133350" cy="133350"/>
            <wp:effectExtent l="0" t="0" r="0" b="0"/>
            <wp:docPr id="3" name="Grafik 3" descr="http://127.0.0.1:61023/help/topic/de.ids.acos.et.help.eng/html/figure/ic_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27.0.0.1:61023/help/topic/de.ids.acos.et.help.eng/html/figure/ic_proper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Eigenschaften auf der Multifunktionsleiste (Registerkarte "Ansichten", Gruppe" Informationen") aufschaltbar, wenn der entsprechende Knoten in der Baumansicht selektiert ist. </w:t>
      </w:r>
    </w:p>
    <w:p w14:paraId="44286EF0" w14:textId="77777777" w:rsidR="00FC5013" w:rsidRDefault="00FC5013" w:rsidP="00FC5013">
      <w:pPr>
        <w:shd w:val="clear" w:color="auto" w:fill="C5CDFC"/>
        <w:spacing w:line="480" w:lineRule="auto"/>
        <w:jc w:val="center"/>
        <w:textAlignment w:val="center"/>
        <w:rPr>
          <w:rFonts w:ascii="Verdana" w:hAnsi="Verdana"/>
          <w:color w:val="003299"/>
          <w:sz w:val="23"/>
          <w:szCs w:val="23"/>
        </w:rPr>
      </w:pPr>
      <w:r>
        <w:rPr>
          <w:rFonts w:ascii="Verdana" w:hAnsi="Verdana"/>
          <w:color w:val="003299"/>
          <w:sz w:val="23"/>
          <w:szCs w:val="23"/>
        </w:rPr>
        <w:t xml:space="preserve">© 2018 IDS GmbH, D-76275 Ettlingen </w:t>
      </w:r>
    </w:p>
    <w:p w14:paraId="5E34CA3F" w14:textId="77777777" w:rsidR="00FC5013" w:rsidRDefault="00FC5013" w:rsidP="00FC5013">
      <w:pPr>
        <w:spacing w:line="300" w:lineRule="atLeast"/>
        <w:jc w:val="both"/>
        <w:rPr>
          <w:rFonts w:ascii="Verdana" w:hAnsi="Verdana"/>
          <w:color w:val="000000"/>
          <w:sz w:val="21"/>
          <w:szCs w:val="21"/>
        </w:rPr>
      </w:pPr>
      <w:r>
        <w:rPr>
          <w:rFonts w:ascii="Verdana" w:hAnsi="Verdana"/>
          <w:sz w:val="21"/>
          <w:szCs w:val="21"/>
        </w:rPr>
        <w:pict w14:anchorId="37E88FED">
          <v:rect id="_x0000_i1041"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626"/>
        <w:gridCol w:w="1820"/>
        <w:gridCol w:w="3626"/>
      </w:tblGrid>
      <w:tr w:rsidR="00FC5013" w14:paraId="6EE2C95A" w14:textId="77777777" w:rsidTr="00FC5013">
        <w:trPr>
          <w:tblCellSpacing w:w="15" w:type="dxa"/>
        </w:trPr>
        <w:tc>
          <w:tcPr>
            <w:tcW w:w="2000" w:type="pct"/>
            <w:vAlign w:val="center"/>
            <w:hideMark/>
          </w:tcPr>
          <w:p w14:paraId="2A3FC3A8" w14:textId="77777777" w:rsidR="00FC5013" w:rsidRDefault="00FC5013">
            <w:pPr>
              <w:spacing w:line="300" w:lineRule="atLeast"/>
              <w:rPr>
                <w:rFonts w:ascii="Verdana" w:hAnsi="Verdana"/>
                <w:sz w:val="17"/>
                <w:szCs w:val="17"/>
              </w:rPr>
            </w:pPr>
            <w:hyperlink r:id="rId17" w:history="1">
              <w:r>
                <w:rPr>
                  <w:rStyle w:val="Hyperlink"/>
                  <w:sz w:val="17"/>
                  <w:szCs w:val="17"/>
                </w:rPr>
                <w:t>Zurück</w:t>
              </w:r>
            </w:hyperlink>
            <w:r>
              <w:rPr>
                <w:rFonts w:ascii="Verdana" w:hAnsi="Verdana"/>
                <w:sz w:val="17"/>
                <w:szCs w:val="17"/>
              </w:rPr>
              <w:t xml:space="preserve">  </w:t>
            </w:r>
          </w:p>
        </w:tc>
        <w:tc>
          <w:tcPr>
            <w:tcW w:w="1000" w:type="pct"/>
            <w:vAlign w:val="center"/>
            <w:hideMark/>
          </w:tcPr>
          <w:p w14:paraId="6B41C5AB" w14:textId="77777777" w:rsidR="00FC5013" w:rsidRDefault="00FC5013">
            <w:pPr>
              <w:spacing w:line="300" w:lineRule="atLeast"/>
              <w:jc w:val="center"/>
              <w:rPr>
                <w:rFonts w:ascii="Verdana" w:hAnsi="Verdana"/>
                <w:sz w:val="17"/>
                <w:szCs w:val="17"/>
              </w:rPr>
            </w:pPr>
            <w:hyperlink r:id="rId18" w:history="1">
              <w:r>
                <w:rPr>
                  <w:rStyle w:val="Hyperlink"/>
                  <w:sz w:val="17"/>
                  <w:szCs w:val="17"/>
                </w:rPr>
                <w:t>Nach oben</w:t>
              </w:r>
            </w:hyperlink>
          </w:p>
        </w:tc>
        <w:tc>
          <w:tcPr>
            <w:tcW w:w="2000" w:type="pct"/>
            <w:vAlign w:val="center"/>
            <w:hideMark/>
          </w:tcPr>
          <w:p w14:paraId="55490F74" w14:textId="77777777" w:rsidR="00FC5013" w:rsidRDefault="00FC5013">
            <w:pPr>
              <w:spacing w:line="300" w:lineRule="atLeast"/>
              <w:jc w:val="right"/>
              <w:rPr>
                <w:rFonts w:ascii="Verdana" w:hAnsi="Verdana"/>
                <w:sz w:val="17"/>
                <w:szCs w:val="17"/>
              </w:rPr>
            </w:pPr>
            <w:r>
              <w:rPr>
                <w:rFonts w:ascii="Verdana" w:hAnsi="Verdana"/>
                <w:sz w:val="17"/>
                <w:szCs w:val="17"/>
              </w:rPr>
              <w:t> </w:t>
            </w:r>
            <w:hyperlink r:id="rId19" w:history="1">
              <w:r>
                <w:rPr>
                  <w:rStyle w:val="Hyperlink"/>
                  <w:sz w:val="17"/>
                  <w:szCs w:val="17"/>
                </w:rPr>
                <w:t>Weiter</w:t>
              </w:r>
            </w:hyperlink>
          </w:p>
        </w:tc>
      </w:tr>
      <w:tr w:rsidR="00FC5013" w14:paraId="3A611C49" w14:textId="77777777" w:rsidTr="00FC5013">
        <w:trPr>
          <w:tblCellSpacing w:w="15" w:type="dxa"/>
        </w:trPr>
        <w:tc>
          <w:tcPr>
            <w:tcW w:w="2000" w:type="pct"/>
            <w:hideMark/>
          </w:tcPr>
          <w:p w14:paraId="0D537756" w14:textId="77777777" w:rsidR="00FC5013" w:rsidRDefault="00FC5013">
            <w:pPr>
              <w:spacing w:line="300" w:lineRule="atLeast"/>
              <w:rPr>
                <w:rFonts w:ascii="Verdana" w:hAnsi="Verdana"/>
                <w:sz w:val="17"/>
                <w:szCs w:val="17"/>
              </w:rPr>
            </w:pPr>
            <w:r>
              <w:rPr>
                <w:rFonts w:ascii="Verdana" w:hAnsi="Verdana"/>
                <w:sz w:val="17"/>
                <w:szCs w:val="17"/>
              </w:rPr>
              <w:t>IEC 61850 Engineering  </w:t>
            </w:r>
          </w:p>
        </w:tc>
        <w:tc>
          <w:tcPr>
            <w:tcW w:w="1000" w:type="pct"/>
            <w:vAlign w:val="center"/>
            <w:hideMark/>
          </w:tcPr>
          <w:p w14:paraId="5615D89C" w14:textId="77777777" w:rsidR="00FC5013" w:rsidRDefault="00FC5013">
            <w:pPr>
              <w:spacing w:line="300" w:lineRule="atLeast"/>
              <w:jc w:val="center"/>
              <w:rPr>
                <w:rFonts w:ascii="Verdana" w:hAnsi="Verdana"/>
                <w:sz w:val="17"/>
                <w:szCs w:val="17"/>
              </w:rPr>
            </w:pPr>
            <w:hyperlink r:id="rId20" w:history="1">
              <w:r>
                <w:rPr>
                  <w:rStyle w:val="Hyperlink"/>
                  <w:sz w:val="17"/>
                  <w:szCs w:val="17"/>
                </w:rPr>
                <w:t>Zum Anfang</w:t>
              </w:r>
            </w:hyperlink>
          </w:p>
        </w:tc>
        <w:tc>
          <w:tcPr>
            <w:tcW w:w="2000" w:type="pct"/>
            <w:hideMark/>
          </w:tcPr>
          <w:p w14:paraId="1F23C59F" w14:textId="77777777" w:rsidR="00FC5013" w:rsidRDefault="00FC5013">
            <w:pPr>
              <w:spacing w:line="300" w:lineRule="atLeast"/>
              <w:jc w:val="right"/>
              <w:rPr>
                <w:rFonts w:ascii="Verdana" w:hAnsi="Verdana"/>
                <w:sz w:val="17"/>
                <w:szCs w:val="17"/>
              </w:rPr>
            </w:pPr>
            <w:r>
              <w:rPr>
                <w:rFonts w:ascii="Verdana" w:hAnsi="Verdana"/>
                <w:sz w:val="17"/>
                <w:szCs w:val="17"/>
              </w:rPr>
              <w:t> 3. IEC 61850 Client Engineering</w:t>
            </w:r>
          </w:p>
        </w:tc>
      </w:tr>
    </w:tbl>
    <w:p w14:paraId="08B9ED77" w14:textId="6876B37A" w:rsidR="00FC5013" w:rsidRDefault="00FC5013"/>
    <w:p w14:paraId="2CD02FD4" w14:textId="77777777" w:rsidR="00FC5013" w:rsidRDefault="00FC5013">
      <w:r>
        <w:br w:type="page"/>
      </w:r>
    </w:p>
    <w:p w14:paraId="09549B7A" w14:textId="77777777" w:rsidR="00FC5013" w:rsidRPr="00FC5013" w:rsidRDefault="00FC5013" w:rsidP="00FC5013">
      <w:pPr>
        <w:spacing w:line="300" w:lineRule="atLeast"/>
        <w:jc w:val="both"/>
        <w:rPr>
          <w:rFonts w:ascii="Verdana" w:hAnsi="Verdana"/>
          <w:sz w:val="21"/>
          <w:szCs w:val="21"/>
          <w:lang w:val="en-GB"/>
        </w:rPr>
      </w:pPr>
      <w:hyperlink r:id="rId21" w:history="1">
        <w:r w:rsidRPr="00FC5013">
          <w:rPr>
            <w:rStyle w:val="Hyperlink"/>
            <w:sz w:val="21"/>
            <w:szCs w:val="21"/>
            <w:lang w:val="en-GB"/>
          </w:rPr>
          <w:t>ACOS ET Engineeringtool</w:t>
        </w:r>
      </w:hyperlink>
      <w:r w:rsidRPr="00FC5013">
        <w:rPr>
          <w:rFonts w:ascii="Verdana" w:hAnsi="Verdana"/>
          <w:sz w:val="21"/>
          <w:szCs w:val="21"/>
          <w:lang w:val="en-GB"/>
        </w:rPr>
        <w:t xml:space="preserve"> &gt; </w:t>
      </w:r>
      <w:hyperlink r:id="rId22" w:history="1">
        <w:r w:rsidRPr="00FC5013">
          <w:rPr>
            <w:rStyle w:val="Hyperlink"/>
            <w:sz w:val="21"/>
            <w:szCs w:val="21"/>
            <w:lang w:val="en-GB"/>
          </w:rPr>
          <w:t>IEC 61850 Engineering</w:t>
        </w:r>
      </w:hyperlink>
    </w:p>
    <w:p w14:paraId="0DDD58F6" w14:textId="77777777" w:rsidR="00FC5013" w:rsidRPr="00FC5013" w:rsidRDefault="00FC5013" w:rsidP="00FC5013">
      <w:pPr>
        <w:shd w:val="clear" w:color="auto" w:fill="C5CDFC"/>
        <w:spacing w:line="480" w:lineRule="auto"/>
        <w:jc w:val="center"/>
        <w:textAlignment w:val="center"/>
        <w:rPr>
          <w:rFonts w:ascii="Verdana" w:hAnsi="Verdana"/>
          <w:color w:val="003299"/>
          <w:sz w:val="23"/>
          <w:szCs w:val="23"/>
          <w:lang w:val="en-GB"/>
        </w:rPr>
      </w:pPr>
      <w:r w:rsidRPr="00FC5013">
        <w:rPr>
          <w:rFonts w:ascii="Verdana" w:hAnsi="Verdana"/>
          <w:color w:val="003299"/>
          <w:sz w:val="23"/>
          <w:szCs w:val="23"/>
          <w:lang w:val="en-GB"/>
        </w:rPr>
        <w:t xml:space="preserve">ACOS ET </w:t>
      </w:r>
    </w:p>
    <w:p w14:paraId="7FAA8D56" w14:textId="77777777" w:rsidR="00FC5013" w:rsidRDefault="00FC5013" w:rsidP="00FC5013">
      <w:pPr>
        <w:pStyle w:val="berschrift2"/>
        <w:spacing w:line="300" w:lineRule="atLeast"/>
        <w:jc w:val="both"/>
        <w:rPr>
          <w:sz w:val="26"/>
          <w:szCs w:val="26"/>
        </w:rPr>
      </w:pPr>
      <w:bookmarkStart w:id="4" w:name="SCD_goose"/>
      <w:bookmarkEnd w:id="4"/>
      <w:r>
        <w:rPr>
          <w:sz w:val="26"/>
          <w:szCs w:val="26"/>
        </w:rPr>
        <w:t xml:space="preserve">5. GOOSE Engineering </w:t>
      </w:r>
    </w:p>
    <w:p w14:paraId="4CFD1061" w14:textId="77777777" w:rsidR="00FC5013" w:rsidRDefault="00FC5013" w:rsidP="00FC5013">
      <w:pPr>
        <w:pStyle w:val="StandardWeb"/>
        <w:jc w:val="both"/>
      </w:pPr>
      <w:r>
        <w:t xml:space="preserve">Die IDS Fernwirktechnik unterstützt die Übertragung von GOOSE-Nachrichten gemäß Normteil IEC 61850-8-1. IEDs können sowohl Publisher sein und Nachrichten zur Verfügung stellen als auch als Subscriber Nachrichten von anderen IEDs abonnieren. </w:t>
      </w:r>
    </w:p>
    <w:p w14:paraId="236A480F" w14:textId="77777777" w:rsidR="00FC5013" w:rsidRDefault="00FC5013" w:rsidP="00FC5013">
      <w:pPr>
        <w:pStyle w:val="StandardWeb"/>
        <w:jc w:val="both"/>
      </w:pPr>
      <w:r>
        <w:t>Für das GOOSE Engineering sind in ACOS ET folgende Schritte auszuführen:</w:t>
      </w:r>
    </w:p>
    <w:p w14:paraId="3F5B33BA" w14:textId="77777777" w:rsidR="00FC5013" w:rsidRDefault="00FC5013" w:rsidP="00FC5013">
      <w:pPr>
        <w:pStyle w:val="StandardWeb"/>
        <w:numPr>
          <w:ilvl w:val="0"/>
          <w:numId w:val="3"/>
        </w:numPr>
        <w:ind w:left="945"/>
        <w:jc w:val="both"/>
      </w:pPr>
      <w:r>
        <w:t>Auf Publisher-Seite:</w:t>
      </w:r>
    </w:p>
    <w:p w14:paraId="28DC3CF7" w14:textId="77777777" w:rsidR="00FC5013" w:rsidRDefault="00FC5013" w:rsidP="00FC5013">
      <w:pPr>
        <w:pStyle w:val="StandardWeb"/>
        <w:numPr>
          <w:ilvl w:val="1"/>
          <w:numId w:val="3"/>
        </w:numPr>
        <w:ind w:left="1170" w:right="675"/>
        <w:jc w:val="both"/>
      </w:pPr>
      <w:r>
        <w:t xml:space="preserve">DataSets erzeugen </w:t>
      </w:r>
    </w:p>
    <w:p w14:paraId="241B93C4" w14:textId="77777777" w:rsidR="00FC5013" w:rsidRDefault="00FC5013" w:rsidP="00FC5013">
      <w:pPr>
        <w:pStyle w:val="StandardWeb"/>
        <w:numPr>
          <w:ilvl w:val="1"/>
          <w:numId w:val="3"/>
        </w:numPr>
        <w:ind w:left="1170" w:right="675"/>
        <w:jc w:val="both"/>
      </w:pPr>
      <w:r>
        <w:t xml:space="preserve">GOOSE Control Block definieren und publizieren </w:t>
      </w:r>
    </w:p>
    <w:p w14:paraId="51009D58" w14:textId="77777777" w:rsidR="00FC5013" w:rsidRDefault="00FC5013" w:rsidP="00FC5013">
      <w:pPr>
        <w:pStyle w:val="StandardWeb"/>
        <w:numPr>
          <w:ilvl w:val="0"/>
          <w:numId w:val="3"/>
        </w:numPr>
        <w:ind w:left="945"/>
        <w:jc w:val="both"/>
      </w:pPr>
      <w:r>
        <w:t>Auf Subscriber-Seite:</w:t>
      </w:r>
    </w:p>
    <w:p w14:paraId="1FA11C53" w14:textId="77777777" w:rsidR="00FC5013" w:rsidRDefault="00FC5013" w:rsidP="00FC5013">
      <w:pPr>
        <w:pStyle w:val="StandardWeb"/>
        <w:numPr>
          <w:ilvl w:val="1"/>
          <w:numId w:val="3"/>
        </w:numPr>
        <w:ind w:left="1170" w:right="675"/>
        <w:jc w:val="both"/>
      </w:pPr>
      <w:r>
        <w:t xml:space="preserve">GOOSE-Nachrichten abonnieren </w:t>
      </w:r>
    </w:p>
    <w:p w14:paraId="02C87073" w14:textId="77777777" w:rsidR="00FC5013" w:rsidRDefault="00FC5013" w:rsidP="00FC5013">
      <w:pPr>
        <w:pStyle w:val="StandardWeb"/>
        <w:numPr>
          <w:ilvl w:val="1"/>
          <w:numId w:val="3"/>
        </w:numPr>
        <w:ind w:left="1170" w:right="675"/>
        <w:jc w:val="both"/>
      </w:pPr>
      <w:r>
        <w:t xml:space="preserve">Objekt Mapping definieren </w:t>
      </w:r>
    </w:p>
    <w:p w14:paraId="5E8EAC84" w14:textId="77777777" w:rsidR="00FC5013" w:rsidRDefault="00FC5013" w:rsidP="00FC5013">
      <w:pPr>
        <w:pStyle w:val="berschrift3"/>
        <w:spacing w:line="300" w:lineRule="atLeast"/>
        <w:jc w:val="both"/>
        <w:rPr>
          <w:sz w:val="23"/>
          <w:szCs w:val="23"/>
        </w:rPr>
      </w:pPr>
      <w:bookmarkStart w:id="5" w:name="SCD_goose_pub"/>
      <w:bookmarkEnd w:id="5"/>
      <w:r>
        <w:rPr>
          <w:sz w:val="23"/>
          <w:szCs w:val="23"/>
        </w:rPr>
        <w:t xml:space="preserve">5.1. GOOSE Publisher </w:t>
      </w:r>
    </w:p>
    <w:p w14:paraId="227D1B66" w14:textId="77777777" w:rsidR="00FC5013" w:rsidRDefault="00FC5013" w:rsidP="00FC5013">
      <w:pPr>
        <w:pStyle w:val="berschrift4"/>
        <w:spacing w:line="300" w:lineRule="atLeast"/>
        <w:jc w:val="both"/>
        <w:rPr>
          <w:sz w:val="21"/>
          <w:szCs w:val="21"/>
        </w:rPr>
      </w:pPr>
      <w:bookmarkStart w:id="6" w:name="d0e23300"/>
      <w:bookmarkEnd w:id="6"/>
      <w:r>
        <w:rPr>
          <w:sz w:val="21"/>
          <w:szCs w:val="21"/>
        </w:rPr>
        <w:t xml:space="preserve">5.1.1. DataSet erzeugen </w:t>
      </w:r>
    </w:p>
    <w:p w14:paraId="3490E18F" w14:textId="77777777" w:rsidR="00FC5013" w:rsidRDefault="00FC5013" w:rsidP="00FC5013">
      <w:pPr>
        <w:pStyle w:val="StandardWeb"/>
        <w:jc w:val="both"/>
      </w:pPr>
      <w:r>
        <w:t xml:space="preserve">Die Vorgehensweise beim Anlegen von Server DataSets für die GOOSE-Kommunikation entspricht dem Anlegen von DataSet-Vorlagen beim Client Engineering (vgl. </w:t>
      </w:r>
      <w:hyperlink r:id="rId23" w:anchor="SCD_dataset" w:tooltip="3.2.6. Vorlagen für Dynamische DataSets anlegen" w:history="1">
        <w:r>
          <w:rPr>
            <w:rStyle w:val="Hyperlink"/>
          </w:rPr>
          <w:t>Abschnitt 3.2.6, „Vorlagen für Dynamische DataSets anlegen“</w:t>
        </w:r>
      </w:hyperlink>
      <w:r>
        <w:t xml:space="preserve">). Der Unterschied besteht lediglich darin, dass alle Objekte, die der Server zur Verfügung stellt, in den DataSet eingefügt werden können.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1035"/>
        <w:gridCol w:w="8037"/>
      </w:tblGrid>
      <w:tr w:rsidR="00FC5013" w14:paraId="66BF90DE" w14:textId="77777777" w:rsidTr="00FC5013">
        <w:trPr>
          <w:tblCellSpacing w:w="15" w:type="dxa"/>
        </w:trPr>
        <w:tc>
          <w:tcPr>
            <w:tcW w:w="375" w:type="dxa"/>
            <w:vMerge w:val="restart"/>
            <w:hideMark/>
          </w:tcPr>
          <w:p w14:paraId="352A0C0F" w14:textId="600CC046" w:rsidR="00FC5013" w:rsidRDefault="00FC5013">
            <w:pPr>
              <w:spacing w:line="300" w:lineRule="atLeast"/>
              <w:jc w:val="center"/>
              <w:rPr>
                <w:rFonts w:ascii="Verdana" w:hAnsi="Verdana"/>
                <w:sz w:val="21"/>
                <w:szCs w:val="21"/>
              </w:rPr>
            </w:pPr>
            <w:r>
              <w:rPr>
                <w:rFonts w:ascii="Verdana" w:hAnsi="Verdana"/>
                <w:noProof/>
                <w:sz w:val="21"/>
                <w:szCs w:val="21"/>
              </w:rPr>
              <w:drawing>
                <wp:inline distT="0" distB="0" distL="0" distR="0" wp14:anchorId="2E80983E" wp14:editId="6380D232">
                  <wp:extent cx="600075" cy="457200"/>
                  <wp:effectExtent l="0" t="0" r="9525" b="0"/>
                  <wp:docPr id="11" name="Grafik 11" descr="[Anmerk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merk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75" cy="457200"/>
                          </a:xfrm>
                          <a:prstGeom prst="rect">
                            <a:avLst/>
                          </a:prstGeom>
                          <a:noFill/>
                          <a:ln>
                            <a:noFill/>
                          </a:ln>
                        </pic:spPr>
                      </pic:pic>
                    </a:graphicData>
                  </a:graphic>
                </wp:inline>
              </w:drawing>
            </w:r>
          </w:p>
        </w:tc>
        <w:tc>
          <w:tcPr>
            <w:tcW w:w="0" w:type="auto"/>
            <w:vAlign w:val="center"/>
            <w:hideMark/>
          </w:tcPr>
          <w:p w14:paraId="291D5E83" w14:textId="77777777" w:rsidR="00FC5013" w:rsidRDefault="00FC5013">
            <w:pPr>
              <w:spacing w:line="270" w:lineRule="atLeast"/>
              <w:rPr>
                <w:rFonts w:ascii="Verdana" w:hAnsi="Verdana"/>
                <w:b/>
                <w:bCs/>
                <w:sz w:val="18"/>
                <w:szCs w:val="18"/>
                <w:u w:val="single"/>
              </w:rPr>
            </w:pPr>
            <w:r>
              <w:rPr>
                <w:rFonts w:ascii="Verdana" w:hAnsi="Verdana"/>
                <w:b/>
                <w:bCs/>
                <w:sz w:val="18"/>
                <w:szCs w:val="18"/>
                <w:u w:val="single"/>
              </w:rPr>
              <w:t>Anmerkung</w:t>
            </w:r>
          </w:p>
        </w:tc>
      </w:tr>
      <w:tr w:rsidR="00FC5013" w14:paraId="6AD215EF" w14:textId="77777777" w:rsidTr="00FC5013">
        <w:trPr>
          <w:tblCellSpacing w:w="15" w:type="dxa"/>
        </w:trPr>
        <w:tc>
          <w:tcPr>
            <w:tcW w:w="0" w:type="auto"/>
            <w:vMerge/>
            <w:vAlign w:val="center"/>
            <w:hideMark/>
          </w:tcPr>
          <w:p w14:paraId="5E258736" w14:textId="77777777" w:rsidR="00FC5013" w:rsidRDefault="00FC5013">
            <w:pPr>
              <w:spacing w:line="300" w:lineRule="atLeast"/>
              <w:jc w:val="both"/>
              <w:rPr>
                <w:rFonts w:ascii="Verdana" w:hAnsi="Verdana"/>
                <w:color w:val="000000"/>
                <w:sz w:val="21"/>
                <w:szCs w:val="21"/>
              </w:rPr>
            </w:pPr>
          </w:p>
        </w:tc>
        <w:tc>
          <w:tcPr>
            <w:tcW w:w="0" w:type="auto"/>
            <w:hideMark/>
          </w:tcPr>
          <w:p w14:paraId="60C11867" w14:textId="77777777" w:rsidR="00FC5013" w:rsidRDefault="00FC5013">
            <w:pPr>
              <w:spacing w:line="300" w:lineRule="atLeast"/>
              <w:rPr>
                <w:rFonts w:ascii="Verdana" w:hAnsi="Verdana"/>
                <w:sz w:val="21"/>
                <w:szCs w:val="21"/>
              </w:rPr>
            </w:pPr>
            <w:r>
              <w:rPr>
                <w:rFonts w:ascii="Verdana" w:hAnsi="Verdana"/>
                <w:sz w:val="21"/>
                <w:szCs w:val="21"/>
              </w:rPr>
              <w:t xml:space="preserve">Im Gegensatz zum Reporting müssen bei GOOSE die DataSets auf Datenattribut-Ebene modelliert werden (Spalte "daName"). </w:t>
            </w:r>
          </w:p>
        </w:tc>
      </w:tr>
    </w:tbl>
    <w:p w14:paraId="18A06EF5" w14:textId="77777777" w:rsidR="00FC5013" w:rsidRDefault="00FC5013" w:rsidP="00FC5013">
      <w:pPr>
        <w:pStyle w:val="berschrift4"/>
        <w:spacing w:line="300" w:lineRule="atLeast"/>
        <w:jc w:val="both"/>
        <w:rPr>
          <w:rFonts w:ascii="Verdana" w:hAnsi="Verdana"/>
          <w:sz w:val="21"/>
          <w:szCs w:val="21"/>
        </w:rPr>
      </w:pPr>
      <w:bookmarkStart w:id="7" w:name="d0e23312"/>
      <w:bookmarkEnd w:id="7"/>
      <w:r>
        <w:rPr>
          <w:sz w:val="21"/>
          <w:szCs w:val="21"/>
        </w:rPr>
        <w:t xml:space="preserve">5.1.2. GOOSE Control Block anlegen </w:t>
      </w:r>
    </w:p>
    <w:p w14:paraId="5DCD6DAA" w14:textId="77777777" w:rsidR="00FC5013" w:rsidRDefault="00FC5013" w:rsidP="00FC5013">
      <w:pPr>
        <w:pStyle w:val="StandardWeb"/>
        <w:jc w:val="both"/>
      </w:pPr>
      <w:r>
        <w:t>Zum Anlegen eines GOOSE Control Block gehen Sie wie folgt vor:</w:t>
      </w:r>
    </w:p>
    <w:p w14:paraId="2CF50998" w14:textId="77777777" w:rsidR="00FC5013" w:rsidRDefault="00FC5013" w:rsidP="00FC5013">
      <w:pPr>
        <w:pStyle w:val="StandardWeb"/>
        <w:numPr>
          <w:ilvl w:val="0"/>
          <w:numId w:val="4"/>
        </w:numPr>
        <w:ind w:left="945"/>
        <w:jc w:val="both"/>
      </w:pPr>
      <w:r>
        <w:t xml:space="preserve">Wählen Sie den Punkt "GOOSE Control Block erzeugen" im Kontextmenü des LLN0-Knoten eines beliebigen Logical Device des Publishers. </w:t>
      </w:r>
    </w:p>
    <w:p w14:paraId="4F7DE934" w14:textId="77777777" w:rsidR="00FC5013" w:rsidRDefault="00FC5013" w:rsidP="00FC5013">
      <w:pPr>
        <w:pStyle w:val="StandardWeb"/>
        <w:numPr>
          <w:ilvl w:val="0"/>
          <w:numId w:val="4"/>
        </w:numPr>
        <w:ind w:left="945"/>
        <w:jc w:val="both"/>
      </w:pPr>
      <w:r>
        <w:t xml:space="preserve">Der Assistent "GOOSE Control Block erzeugen" wird geöffnet: </w:t>
      </w:r>
    </w:p>
    <w:p w14:paraId="2C6859B1" w14:textId="4546A7E4" w:rsidR="00FC5013" w:rsidRDefault="00FC5013" w:rsidP="00FC5013">
      <w:pPr>
        <w:spacing w:beforeAutospacing="1" w:afterAutospacing="1" w:line="300" w:lineRule="atLeast"/>
        <w:ind w:left="720"/>
        <w:jc w:val="center"/>
        <w:rPr>
          <w:rFonts w:ascii="Verdana" w:hAnsi="Verdana"/>
          <w:sz w:val="21"/>
          <w:szCs w:val="21"/>
        </w:rPr>
      </w:pPr>
      <w:bookmarkStart w:id="8" w:name="d0e23325"/>
      <w:bookmarkEnd w:id="8"/>
      <w:r>
        <w:rPr>
          <w:rFonts w:ascii="Verdana" w:hAnsi="Verdana"/>
          <w:noProof/>
          <w:sz w:val="21"/>
          <w:szCs w:val="21"/>
        </w:rPr>
        <w:drawing>
          <wp:inline distT="0" distB="0" distL="0" distR="0" wp14:anchorId="165D5B77" wp14:editId="4A79FF5E">
            <wp:extent cx="8677275" cy="6486525"/>
            <wp:effectExtent l="0" t="0" r="9525" b="9525"/>
            <wp:docPr id="10" name="Grafik 10" descr="Assistent &quot;GOOSE Control Block erzeug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ssistent &quot;GOOSE Control Block erzeugen&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77275" cy="6486525"/>
                    </a:xfrm>
                    <a:prstGeom prst="rect">
                      <a:avLst/>
                    </a:prstGeom>
                    <a:noFill/>
                    <a:ln>
                      <a:noFill/>
                    </a:ln>
                  </pic:spPr>
                </pic:pic>
              </a:graphicData>
            </a:graphic>
          </wp:inline>
        </w:drawing>
      </w:r>
    </w:p>
    <w:p w14:paraId="3A45A10F" w14:textId="77777777" w:rsidR="00FC5013" w:rsidRDefault="00FC5013" w:rsidP="00FC5013">
      <w:pPr>
        <w:spacing w:after="90" w:line="300" w:lineRule="atLeast"/>
        <w:ind w:left="945" w:right="225"/>
        <w:jc w:val="center"/>
        <w:rPr>
          <w:rFonts w:ascii="Verdana" w:hAnsi="Verdana"/>
          <w:sz w:val="19"/>
          <w:szCs w:val="19"/>
        </w:rPr>
      </w:pPr>
      <w:r>
        <w:rPr>
          <w:rFonts w:ascii="Verdana" w:hAnsi="Verdana"/>
          <w:b/>
          <w:bCs/>
          <w:sz w:val="19"/>
          <w:szCs w:val="19"/>
        </w:rPr>
        <w:t>Assistent "GOOSE Control Block erzeugen"</w:t>
      </w:r>
    </w:p>
    <w:p w14:paraId="1C409A69" w14:textId="77777777" w:rsidR="00FC5013" w:rsidRDefault="00FC5013" w:rsidP="00FC5013">
      <w:pPr>
        <w:pStyle w:val="StandardWeb"/>
        <w:ind w:left="945"/>
        <w:jc w:val="both"/>
      </w:pPr>
    </w:p>
    <w:p w14:paraId="75707F70" w14:textId="77777777" w:rsidR="00FC5013" w:rsidRDefault="00FC5013" w:rsidP="00FC5013">
      <w:pPr>
        <w:pStyle w:val="StandardWeb"/>
        <w:numPr>
          <w:ilvl w:val="0"/>
          <w:numId w:val="4"/>
        </w:numPr>
        <w:ind w:left="945"/>
        <w:jc w:val="both"/>
      </w:pPr>
      <w:r>
        <w:t xml:space="preserve">Geben Sie einen Namen sowie (optional) eine Beschreibung für den GOOSE Control Block ein. </w:t>
      </w:r>
    </w:p>
    <w:p w14:paraId="77D5EEF5" w14:textId="77777777" w:rsidR="00FC5013" w:rsidRDefault="00FC5013" w:rsidP="00FC5013">
      <w:pPr>
        <w:pStyle w:val="StandardWeb"/>
        <w:numPr>
          <w:ilvl w:val="0"/>
          <w:numId w:val="4"/>
        </w:numPr>
        <w:ind w:left="945"/>
        <w:jc w:val="both"/>
      </w:pPr>
      <w:r>
        <w:t xml:space="preserve">Wählen Sie das DataSet aus. </w:t>
      </w:r>
    </w:p>
    <w:p w14:paraId="653D3632" w14:textId="77777777" w:rsidR="00FC5013" w:rsidRDefault="00FC5013" w:rsidP="00FC5013">
      <w:pPr>
        <w:pStyle w:val="StandardWeb"/>
        <w:numPr>
          <w:ilvl w:val="0"/>
          <w:numId w:val="4"/>
        </w:numPr>
        <w:ind w:left="945"/>
        <w:jc w:val="both"/>
      </w:pPr>
      <w:r>
        <w:t xml:space="preserve">Zur eindeutigen Identifizierung des GOOSE Control Block müssen Sie einen GOOSE Applikationsidentifier vergeben. Dieser muss innerhalb der Hierarchie des übergeordneten Knoten eindeutig sein. Außerdem haben Sie die Möglichkeit, eine Konfigurations-Versionsnummer zu vergeben. (Anmerkung: Dieses Feld darf nicht leer sein und muss eine Ganzzahl enthalten, der Defaultwert ist "0"). </w:t>
      </w:r>
    </w:p>
    <w:p w14:paraId="78550C7A" w14:textId="77777777" w:rsidR="00FC5013" w:rsidRDefault="00FC5013" w:rsidP="00FC5013">
      <w:pPr>
        <w:pStyle w:val="StandardWeb"/>
        <w:numPr>
          <w:ilvl w:val="0"/>
          <w:numId w:val="4"/>
        </w:numPr>
        <w:ind w:left="945"/>
        <w:jc w:val="both"/>
      </w:pPr>
      <w:r>
        <w:t xml:space="preserve">Aktivieren Sie die Checkbox "GOOSE Control Block publizieren", um den Control Block für Subscriber zur Verfügung zu stellen und definieren Sie die Publishing Eigenschaften. Verpflichtend muss die Broadcast-Adresse (Destination MAC address) angegeben werden. Diese muss innerhalb des für GOOSE reservierten Bereichs liegen (01-0C-CD-01-00-00 bis 01-0C-CD-01-01-FF). </w:t>
      </w:r>
    </w:p>
    <w:p w14:paraId="71CCAF3C" w14:textId="77777777" w:rsidR="00FC5013" w:rsidRDefault="00FC5013" w:rsidP="00FC5013">
      <w:pPr>
        <w:pStyle w:val="StandardWeb"/>
        <w:numPr>
          <w:ilvl w:val="0"/>
          <w:numId w:val="4"/>
        </w:numPr>
        <w:ind w:left="945"/>
        <w:jc w:val="both"/>
      </w:pPr>
      <w:r>
        <w:t xml:space="preserve">Verlassen Sie den Assistenten über "Fertigstellen". </w:t>
      </w:r>
    </w:p>
    <w:p w14:paraId="546B8802" w14:textId="77777777" w:rsidR="00FC5013" w:rsidRDefault="00FC5013" w:rsidP="00FC5013">
      <w:pPr>
        <w:pStyle w:val="StandardWeb"/>
        <w:numPr>
          <w:ilvl w:val="0"/>
          <w:numId w:val="4"/>
        </w:numPr>
        <w:ind w:left="945"/>
        <w:jc w:val="both"/>
      </w:pPr>
      <w:r>
        <w:t xml:space="preserve">Im LLN0-Knoten des gewählten Logical Device wird ein entsprechender GOOSE Control Block angelegt. </w:t>
      </w:r>
    </w:p>
    <w:p w14:paraId="3C4D8E44" w14:textId="77777777" w:rsidR="00FC5013" w:rsidRDefault="00FC5013" w:rsidP="00FC5013">
      <w:pPr>
        <w:pStyle w:val="StandardWeb"/>
        <w:numPr>
          <w:ilvl w:val="0"/>
          <w:numId w:val="4"/>
        </w:numPr>
        <w:ind w:left="945"/>
        <w:jc w:val="both"/>
      </w:pPr>
      <w:r>
        <w:t xml:space="preserve">Um einen vorhandenen GOOSE Control Block nachträglich zu ändern, klicken Sie diesen in der IEC 61850 Ansicht doppelt an. Es öffnet sich der GOOSE Control Block Editor, der dieselben Einstellungsmöglichkeiten bietet wie der Assistent. </w:t>
      </w:r>
    </w:p>
    <w:p w14:paraId="0657A2DE" w14:textId="77777777" w:rsidR="00FC5013" w:rsidRDefault="00FC5013" w:rsidP="00FC5013">
      <w:pPr>
        <w:pStyle w:val="berschrift3"/>
        <w:spacing w:line="300" w:lineRule="atLeast"/>
        <w:jc w:val="both"/>
        <w:rPr>
          <w:sz w:val="23"/>
          <w:szCs w:val="23"/>
        </w:rPr>
      </w:pPr>
      <w:bookmarkStart w:id="9" w:name="SCD_goose_sub"/>
      <w:bookmarkEnd w:id="9"/>
      <w:r>
        <w:rPr>
          <w:sz w:val="23"/>
          <w:szCs w:val="23"/>
        </w:rPr>
        <w:t xml:space="preserve">5.2. GOOSE Subscriber </w:t>
      </w:r>
    </w:p>
    <w:p w14:paraId="6B0FE228" w14:textId="77777777" w:rsidR="00FC5013" w:rsidRDefault="00FC5013" w:rsidP="00FC5013">
      <w:pPr>
        <w:pStyle w:val="StandardWeb"/>
        <w:jc w:val="both"/>
      </w:pPr>
      <w:r>
        <w:t xml:space="preserve">Auf Seiten des Subscribers können Sie GOOSE Nachrichten abonnieren und das Objekt Mapping auf IEC 60870 definieren. </w:t>
      </w:r>
    </w:p>
    <w:p w14:paraId="5B640B9F" w14:textId="77777777" w:rsidR="00FC5013" w:rsidRDefault="00FC5013" w:rsidP="00FC5013">
      <w:pPr>
        <w:pStyle w:val="berschrift4"/>
        <w:spacing w:line="300" w:lineRule="atLeast"/>
        <w:jc w:val="both"/>
        <w:rPr>
          <w:sz w:val="21"/>
          <w:szCs w:val="21"/>
        </w:rPr>
      </w:pPr>
      <w:bookmarkStart w:id="10" w:name="d0e23361"/>
      <w:bookmarkEnd w:id="10"/>
      <w:r>
        <w:rPr>
          <w:sz w:val="21"/>
          <w:szCs w:val="21"/>
        </w:rPr>
        <w:t xml:space="preserve">5.2.1. GOOSE Nachrichten abonnieren </w:t>
      </w:r>
    </w:p>
    <w:p w14:paraId="281EAC9A" w14:textId="77777777" w:rsidR="00FC5013" w:rsidRDefault="00FC5013" w:rsidP="00FC5013">
      <w:pPr>
        <w:pStyle w:val="StandardWeb"/>
        <w:numPr>
          <w:ilvl w:val="0"/>
          <w:numId w:val="5"/>
        </w:numPr>
        <w:ind w:left="945"/>
        <w:jc w:val="both"/>
      </w:pPr>
      <w:r>
        <w:t xml:space="preserve">Wählen Sie den Punkt "GOOSE Nachrichten abonnieren" im Kontextmenü des AccessPoint Node des Subscribers. </w:t>
      </w:r>
    </w:p>
    <w:p w14:paraId="3BD0619E" w14:textId="77777777" w:rsidR="00FC5013" w:rsidRDefault="00FC5013" w:rsidP="00FC5013">
      <w:pPr>
        <w:pStyle w:val="StandardWeb"/>
        <w:numPr>
          <w:ilvl w:val="0"/>
          <w:numId w:val="5"/>
        </w:numPr>
        <w:ind w:left="945"/>
        <w:jc w:val="both"/>
      </w:pPr>
      <w:r>
        <w:t xml:space="preserve">Der Assistent "GOOSE Nachrichten abonnieren" wird geöffnet. </w:t>
      </w:r>
    </w:p>
    <w:p w14:paraId="443DC3CA" w14:textId="661ACC6C" w:rsidR="00FC5013" w:rsidRDefault="00FC5013" w:rsidP="00FC5013">
      <w:pPr>
        <w:spacing w:beforeAutospacing="1" w:afterAutospacing="1" w:line="300" w:lineRule="atLeast"/>
        <w:ind w:left="720"/>
        <w:jc w:val="center"/>
        <w:rPr>
          <w:rFonts w:ascii="Verdana" w:hAnsi="Verdana"/>
          <w:sz w:val="21"/>
          <w:szCs w:val="21"/>
        </w:rPr>
      </w:pPr>
      <w:bookmarkStart w:id="11" w:name="d0e23372"/>
      <w:bookmarkEnd w:id="11"/>
      <w:r>
        <w:rPr>
          <w:rFonts w:ascii="Verdana" w:hAnsi="Verdana"/>
          <w:noProof/>
          <w:sz w:val="21"/>
          <w:szCs w:val="21"/>
        </w:rPr>
        <w:drawing>
          <wp:inline distT="0" distB="0" distL="0" distR="0" wp14:anchorId="168AAF03" wp14:editId="20187A5C">
            <wp:extent cx="8601075" cy="6400800"/>
            <wp:effectExtent l="0" t="0" r="9525" b="0"/>
            <wp:docPr id="9" name="Grafik 9" descr="Assistent &quot;GOOSE Nachrichten abonnier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ssistent &quot;GOOSE Nachrichten abonnieren&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01075" cy="6400800"/>
                    </a:xfrm>
                    <a:prstGeom prst="rect">
                      <a:avLst/>
                    </a:prstGeom>
                    <a:noFill/>
                    <a:ln>
                      <a:noFill/>
                    </a:ln>
                  </pic:spPr>
                </pic:pic>
              </a:graphicData>
            </a:graphic>
          </wp:inline>
        </w:drawing>
      </w:r>
    </w:p>
    <w:p w14:paraId="108CEA9C" w14:textId="77777777" w:rsidR="00FC5013" w:rsidRDefault="00FC5013" w:rsidP="00FC5013">
      <w:pPr>
        <w:spacing w:after="90" w:line="300" w:lineRule="atLeast"/>
        <w:ind w:left="945" w:right="225"/>
        <w:jc w:val="center"/>
        <w:rPr>
          <w:rFonts w:ascii="Verdana" w:hAnsi="Verdana"/>
          <w:sz w:val="19"/>
          <w:szCs w:val="19"/>
        </w:rPr>
      </w:pPr>
      <w:r>
        <w:rPr>
          <w:rFonts w:ascii="Verdana" w:hAnsi="Verdana"/>
          <w:b/>
          <w:bCs/>
          <w:sz w:val="19"/>
          <w:szCs w:val="19"/>
        </w:rPr>
        <w:t xml:space="preserve">Assistent "GOOSE Nachrichten abonnieren" </w:t>
      </w:r>
    </w:p>
    <w:p w14:paraId="09112E6E" w14:textId="77777777" w:rsidR="00FC5013" w:rsidRDefault="00FC5013" w:rsidP="00FC5013">
      <w:pPr>
        <w:pStyle w:val="StandardWeb"/>
        <w:ind w:left="945"/>
        <w:jc w:val="both"/>
      </w:pPr>
    </w:p>
    <w:p w14:paraId="732ED792" w14:textId="77777777" w:rsidR="00FC5013" w:rsidRDefault="00FC5013" w:rsidP="00FC5013">
      <w:pPr>
        <w:pStyle w:val="StandardWeb"/>
        <w:numPr>
          <w:ilvl w:val="0"/>
          <w:numId w:val="5"/>
        </w:numPr>
        <w:ind w:left="945"/>
        <w:jc w:val="both"/>
      </w:pPr>
      <w:r>
        <w:t xml:space="preserve">In der Tabelle werden die publizierten GOOSE Control Blocks angezeigt. Um einen GOOSE Control Block zu abonnieren, setzen Sie einen Haken in der Checkbox "Aktiv". Benutzen Sie ggf. den Tabellenfilter und das Kontextmenü der Tabelle, um mehrere Objekte gleichzeitig zu selektieren (vgl. Vorgehensweise beim Objekt Mapping, </w:t>
      </w:r>
      <w:hyperlink r:id="rId27" w:anchor="SCD_client_mapping" w:tooltip="3.2.5. Objekt Mapping definieren" w:history="1">
        <w:r>
          <w:rPr>
            <w:rStyle w:val="Hyperlink"/>
          </w:rPr>
          <w:t>Abschnitt 3.2.5, „Objekt Mapping definieren“</w:t>
        </w:r>
      </w:hyperlink>
      <w:r>
        <w:t xml:space="preserve">). </w:t>
      </w:r>
    </w:p>
    <w:p w14:paraId="67110348" w14:textId="77777777" w:rsidR="00FC5013" w:rsidRDefault="00FC5013" w:rsidP="00FC5013">
      <w:pPr>
        <w:pStyle w:val="StandardWeb"/>
        <w:numPr>
          <w:ilvl w:val="0"/>
          <w:numId w:val="5"/>
        </w:numPr>
        <w:ind w:left="945"/>
        <w:jc w:val="both"/>
      </w:pPr>
      <w:r>
        <w:t xml:space="preserve">Zusätzlich können Sie für die Überwachung der GOOSE-Kommunikation eine globale Statusmeldung sowie zusätzliche individuelle Status-Meldungen durch Angabe der Objektadresse definieren.  Wenn diese Felder leer bleiben, werden keine Statusmeldungen erzeugt. </w:t>
      </w:r>
    </w:p>
    <w:p w14:paraId="12B7DC1E" w14:textId="77777777" w:rsidR="00FC5013" w:rsidRDefault="00FC5013" w:rsidP="00FC5013">
      <w:pPr>
        <w:pStyle w:val="StandardWeb"/>
        <w:numPr>
          <w:ilvl w:val="0"/>
          <w:numId w:val="5"/>
        </w:numPr>
        <w:ind w:left="945"/>
        <w:jc w:val="both"/>
      </w:pPr>
      <w:r>
        <w:t xml:space="preserve">Verlassen Sie den Assistenten über "Fertigstellen". </w:t>
      </w:r>
    </w:p>
    <w:p w14:paraId="32842126" w14:textId="77777777" w:rsidR="00FC5013" w:rsidRDefault="00FC5013" w:rsidP="00FC5013">
      <w:pPr>
        <w:pStyle w:val="StandardWeb"/>
        <w:numPr>
          <w:ilvl w:val="0"/>
          <w:numId w:val="5"/>
        </w:numPr>
        <w:ind w:left="945"/>
        <w:jc w:val="both"/>
      </w:pPr>
      <w:r>
        <w:t xml:space="preserve">Im AccessPoint Node des Subscribers wird ein Knoten "private.IDSGooseSubscribe" angelegt. </w:t>
      </w:r>
    </w:p>
    <w:p w14:paraId="11F875C4" w14:textId="77777777" w:rsidR="00FC5013" w:rsidRDefault="00FC5013" w:rsidP="00FC5013">
      <w:pPr>
        <w:pStyle w:val="StandardWeb"/>
        <w:numPr>
          <w:ilvl w:val="0"/>
          <w:numId w:val="5"/>
        </w:numPr>
        <w:ind w:left="945"/>
        <w:jc w:val="both"/>
      </w:pPr>
      <w:r>
        <w:t xml:space="preserve">Über das Kontextmenü des o.g. Knoten können Sie den Knoten wieder entfernen. </w:t>
      </w:r>
    </w:p>
    <w:p w14:paraId="03CA9435" w14:textId="77777777" w:rsidR="00FC5013" w:rsidRDefault="00FC5013" w:rsidP="00FC5013">
      <w:pPr>
        <w:pStyle w:val="berschrift4"/>
        <w:spacing w:line="300" w:lineRule="atLeast"/>
        <w:jc w:val="both"/>
        <w:rPr>
          <w:sz w:val="21"/>
          <w:szCs w:val="21"/>
        </w:rPr>
      </w:pPr>
      <w:bookmarkStart w:id="12" w:name="d0e23399"/>
      <w:bookmarkEnd w:id="12"/>
      <w:r>
        <w:rPr>
          <w:sz w:val="21"/>
          <w:szCs w:val="21"/>
        </w:rPr>
        <w:t xml:space="preserve">5.2.2. Objekt Mapping </w:t>
      </w:r>
    </w:p>
    <w:p w14:paraId="0DA46AFB" w14:textId="77777777" w:rsidR="00FC5013" w:rsidRDefault="00FC5013" w:rsidP="00FC5013">
      <w:pPr>
        <w:pStyle w:val="StandardWeb"/>
        <w:numPr>
          <w:ilvl w:val="0"/>
          <w:numId w:val="6"/>
        </w:numPr>
        <w:ind w:left="945"/>
        <w:jc w:val="both"/>
      </w:pPr>
      <w:r>
        <w:t>Klicken Sie den LLN0-Knoten des Subscribers doppelt an.</w:t>
      </w:r>
    </w:p>
    <w:p w14:paraId="77A8DBB9" w14:textId="77777777" w:rsidR="00FC5013" w:rsidRDefault="00FC5013" w:rsidP="00FC5013">
      <w:pPr>
        <w:pStyle w:val="StandardWeb"/>
        <w:numPr>
          <w:ilvl w:val="0"/>
          <w:numId w:val="6"/>
        </w:numPr>
        <w:ind w:left="945"/>
        <w:jc w:val="both"/>
      </w:pPr>
      <w:r>
        <w:t xml:space="preserve">Es öffnet sich eine Editor-Tabelle, in der alle verfügbaren Datenobjekte des zugehörigen Publisher IED aufgelistet sind. </w:t>
      </w:r>
    </w:p>
    <w:p w14:paraId="24023F6C" w14:textId="7A778E53" w:rsidR="00FC5013" w:rsidRDefault="00FC5013" w:rsidP="00FC5013">
      <w:pPr>
        <w:spacing w:beforeAutospacing="1" w:afterAutospacing="1" w:line="300" w:lineRule="atLeast"/>
        <w:ind w:left="720"/>
        <w:jc w:val="center"/>
        <w:rPr>
          <w:rFonts w:ascii="Verdana" w:hAnsi="Verdana"/>
          <w:sz w:val="21"/>
          <w:szCs w:val="21"/>
        </w:rPr>
      </w:pPr>
      <w:bookmarkStart w:id="13" w:name="d0e23410"/>
      <w:bookmarkEnd w:id="13"/>
      <w:r>
        <w:rPr>
          <w:rFonts w:ascii="Verdana" w:hAnsi="Verdana"/>
          <w:noProof/>
          <w:sz w:val="21"/>
          <w:szCs w:val="21"/>
        </w:rPr>
        <w:drawing>
          <wp:inline distT="0" distB="0" distL="0" distR="0" wp14:anchorId="6168C434" wp14:editId="3C96A653">
            <wp:extent cx="8401050" cy="4733925"/>
            <wp:effectExtent l="0" t="0" r="0" b="9525"/>
            <wp:docPr id="8" name="Grafik 8" descr="Tabelle GOOSE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elle GOOSEMapp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01050" cy="4733925"/>
                    </a:xfrm>
                    <a:prstGeom prst="rect">
                      <a:avLst/>
                    </a:prstGeom>
                    <a:noFill/>
                    <a:ln>
                      <a:noFill/>
                    </a:ln>
                  </pic:spPr>
                </pic:pic>
              </a:graphicData>
            </a:graphic>
          </wp:inline>
        </w:drawing>
      </w:r>
    </w:p>
    <w:p w14:paraId="0547C56A" w14:textId="77777777" w:rsidR="00FC5013" w:rsidRDefault="00FC5013" w:rsidP="00FC5013">
      <w:pPr>
        <w:spacing w:after="90" w:line="300" w:lineRule="atLeast"/>
        <w:ind w:left="945" w:right="225"/>
        <w:jc w:val="center"/>
        <w:rPr>
          <w:rFonts w:ascii="Verdana" w:hAnsi="Verdana"/>
          <w:sz w:val="19"/>
          <w:szCs w:val="19"/>
        </w:rPr>
      </w:pPr>
      <w:r>
        <w:rPr>
          <w:rFonts w:ascii="Verdana" w:hAnsi="Verdana"/>
          <w:b/>
          <w:bCs/>
          <w:sz w:val="19"/>
          <w:szCs w:val="19"/>
        </w:rPr>
        <w:t>Tabelle GOOSEMapping</w:t>
      </w:r>
    </w:p>
    <w:p w14:paraId="2D6D294F" w14:textId="77777777" w:rsidR="00FC5013" w:rsidRDefault="00FC5013" w:rsidP="00FC5013">
      <w:pPr>
        <w:pStyle w:val="StandardWeb"/>
        <w:ind w:left="945"/>
        <w:jc w:val="both"/>
      </w:pPr>
    </w:p>
    <w:p w14:paraId="4FD67F35" w14:textId="77777777" w:rsidR="00FC5013" w:rsidRDefault="00FC5013" w:rsidP="00FC5013">
      <w:pPr>
        <w:pStyle w:val="StandardWeb"/>
        <w:numPr>
          <w:ilvl w:val="0"/>
          <w:numId w:val="6"/>
        </w:numPr>
        <w:ind w:left="945"/>
        <w:jc w:val="both"/>
      </w:pPr>
      <w:r>
        <w:t xml:space="preserve">Die abzubildenden Objekte können Sie in der Tabelle einfach durch Setzen eines Hakens in der Spalte "Aktiv" auswählen. Benutzen Sie ggf. den Tabellenfilter und das Kontextmenü der Tabelle, um mehrere Objekte gleichzeitig zu selektieren (vgl. Vorgehensweise beim Client Objekt Mapping, </w:t>
      </w:r>
      <w:hyperlink r:id="rId29" w:anchor="SCD_client_mapping" w:tooltip="3.2.5. Objekt Mapping definieren" w:history="1">
        <w:r>
          <w:rPr>
            <w:rStyle w:val="Hyperlink"/>
          </w:rPr>
          <w:t>Abschnitt 3.2.5, „Objekt Mapping definieren“</w:t>
        </w:r>
      </w:hyperlink>
      <w:r>
        <w:t xml:space="preserve">) </w:t>
      </w:r>
    </w:p>
    <w:p w14:paraId="72DB0757" w14:textId="77777777" w:rsidR="00FC5013" w:rsidRDefault="00FC5013" w:rsidP="00FC5013">
      <w:pPr>
        <w:pStyle w:val="StandardWeb"/>
        <w:numPr>
          <w:ilvl w:val="0"/>
          <w:numId w:val="6"/>
        </w:numPr>
        <w:ind w:left="945"/>
        <w:jc w:val="both"/>
      </w:pPr>
      <w:r>
        <w:t xml:space="preserve">Um das Mapping auf IEC 60870 zu definieren, ergänzen Sie die Werte in dem Spalten "caASDU" (Geräteadresse), "IOA" (Informationsobjektadresse) und "Typ" (IEC 60870 Objekttyp) sowie ggf. "params" (weitere Parameter, abhängig von Typ). Sie können alle Einträge gleichzeitig bearbeiten, indem Sie im Kontextmenü der Tabelle den entsprechenden Befehl wählen ("Globale Änderung der ASDU-Adresse/Objektadresse..."). </w:t>
      </w:r>
    </w:p>
    <w:p w14:paraId="57B594CF" w14:textId="77777777" w:rsidR="00FC5013" w:rsidRDefault="00FC5013" w:rsidP="00FC5013">
      <w:pPr>
        <w:pStyle w:val="StandardWeb"/>
        <w:numPr>
          <w:ilvl w:val="0"/>
          <w:numId w:val="6"/>
        </w:numPr>
        <w:ind w:left="945"/>
        <w:jc w:val="both"/>
      </w:pPr>
      <w:r>
        <w:t xml:space="preserve">Für jedes ausgewählte Datenobjekt wird nun im LLN0-Knoten unter "Inputs" ein "ExtRef"-Element angelegt. Die o.g. Mapping-Informationen werden zu einem CSV-String (mit Trennzeichen Semikolon) kombiniert und im "intAddr" Attribut dieser ExtRef-Elemente gespeichert. </w:t>
      </w:r>
    </w:p>
    <w:p w14:paraId="6C1A9AF2" w14:textId="4968C281" w:rsidR="00FC5013" w:rsidRDefault="00FC5013" w:rsidP="00FC5013">
      <w:pPr>
        <w:spacing w:beforeAutospacing="1" w:afterAutospacing="1" w:line="300" w:lineRule="atLeast"/>
        <w:ind w:left="720"/>
        <w:jc w:val="center"/>
        <w:rPr>
          <w:rFonts w:ascii="Verdana" w:hAnsi="Verdana"/>
          <w:sz w:val="21"/>
          <w:szCs w:val="21"/>
        </w:rPr>
      </w:pPr>
      <w:bookmarkStart w:id="14" w:name="d0e23431"/>
      <w:bookmarkEnd w:id="14"/>
      <w:r>
        <w:rPr>
          <w:rFonts w:ascii="Verdana" w:hAnsi="Verdana"/>
          <w:noProof/>
          <w:sz w:val="21"/>
          <w:szCs w:val="21"/>
        </w:rPr>
        <w:drawing>
          <wp:inline distT="0" distB="0" distL="0" distR="0" wp14:anchorId="0B3BEEFD" wp14:editId="175F9877">
            <wp:extent cx="11763375" cy="7315200"/>
            <wp:effectExtent l="0" t="0" r="9525" b="0"/>
            <wp:docPr id="7" name="Grafik 7" descr="GOOSE Objekt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SE Objekt Mapp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763375" cy="7315200"/>
                    </a:xfrm>
                    <a:prstGeom prst="rect">
                      <a:avLst/>
                    </a:prstGeom>
                    <a:noFill/>
                    <a:ln>
                      <a:noFill/>
                    </a:ln>
                  </pic:spPr>
                </pic:pic>
              </a:graphicData>
            </a:graphic>
          </wp:inline>
        </w:drawing>
      </w:r>
    </w:p>
    <w:p w14:paraId="53B71645" w14:textId="77777777" w:rsidR="00FC5013" w:rsidRDefault="00FC5013" w:rsidP="00FC5013">
      <w:pPr>
        <w:spacing w:after="90" w:line="300" w:lineRule="atLeast"/>
        <w:ind w:left="945" w:right="225"/>
        <w:jc w:val="center"/>
        <w:rPr>
          <w:rFonts w:ascii="Verdana" w:hAnsi="Verdana"/>
          <w:sz w:val="19"/>
          <w:szCs w:val="19"/>
        </w:rPr>
      </w:pPr>
      <w:r>
        <w:rPr>
          <w:rFonts w:ascii="Verdana" w:hAnsi="Verdana"/>
          <w:b/>
          <w:bCs/>
          <w:sz w:val="19"/>
          <w:szCs w:val="19"/>
        </w:rPr>
        <w:t>GOOSE Objekt Mapping</w:t>
      </w:r>
    </w:p>
    <w:p w14:paraId="31DE45AF" w14:textId="77777777" w:rsidR="00FC5013" w:rsidRDefault="00FC5013" w:rsidP="00FC5013">
      <w:pPr>
        <w:spacing w:beforeAutospacing="1" w:after="0" w:afterAutospacing="1" w:line="300" w:lineRule="atLeast"/>
        <w:ind w:left="720"/>
        <w:jc w:val="both"/>
        <w:rPr>
          <w:rFonts w:ascii="Verdana" w:hAnsi="Verdana"/>
          <w:sz w:val="21"/>
          <w:szCs w:val="21"/>
        </w:rPr>
      </w:pP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Note: Das Attribut &quot;intAddr&quot;:"/>
      </w:tblPr>
      <w:tblGrid>
        <w:gridCol w:w="1035"/>
        <w:gridCol w:w="7317"/>
      </w:tblGrid>
      <w:tr w:rsidR="00FC5013" w14:paraId="5800A3C5" w14:textId="77777777" w:rsidTr="00FC5013">
        <w:trPr>
          <w:tblCellSpacing w:w="15" w:type="dxa"/>
        </w:trPr>
        <w:tc>
          <w:tcPr>
            <w:tcW w:w="375" w:type="dxa"/>
            <w:vMerge w:val="restart"/>
            <w:hideMark/>
          </w:tcPr>
          <w:p w14:paraId="372424A4" w14:textId="37B1A8A6" w:rsidR="00FC5013" w:rsidRDefault="00FC5013">
            <w:pPr>
              <w:spacing w:line="300" w:lineRule="atLeast"/>
              <w:jc w:val="center"/>
              <w:rPr>
                <w:rFonts w:ascii="Verdana" w:hAnsi="Verdana"/>
                <w:sz w:val="21"/>
                <w:szCs w:val="21"/>
              </w:rPr>
            </w:pPr>
            <w:r>
              <w:rPr>
                <w:rFonts w:ascii="Verdana" w:hAnsi="Verdana"/>
                <w:noProof/>
                <w:sz w:val="21"/>
                <w:szCs w:val="21"/>
              </w:rPr>
              <w:drawing>
                <wp:inline distT="0" distB="0" distL="0" distR="0" wp14:anchorId="154C0933" wp14:editId="683E4388">
                  <wp:extent cx="600075" cy="457200"/>
                  <wp:effectExtent l="0" t="0" r="9525" b="0"/>
                  <wp:docPr id="6" name="Grafik 6" descr="[Anmerk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merk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75" cy="457200"/>
                          </a:xfrm>
                          <a:prstGeom prst="rect">
                            <a:avLst/>
                          </a:prstGeom>
                          <a:noFill/>
                          <a:ln>
                            <a:noFill/>
                          </a:ln>
                        </pic:spPr>
                      </pic:pic>
                    </a:graphicData>
                  </a:graphic>
                </wp:inline>
              </w:drawing>
            </w:r>
          </w:p>
        </w:tc>
        <w:tc>
          <w:tcPr>
            <w:tcW w:w="0" w:type="auto"/>
            <w:vAlign w:val="center"/>
            <w:hideMark/>
          </w:tcPr>
          <w:p w14:paraId="009E67CC" w14:textId="77777777" w:rsidR="00FC5013" w:rsidRDefault="00FC5013">
            <w:pPr>
              <w:spacing w:line="270" w:lineRule="atLeast"/>
              <w:rPr>
                <w:rFonts w:ascii="Verdana" w:hAnsi="Verdana"/>
                <w:b/>
                <w:bCs/>
                <w:sz w:val="18"/>
                <w:szCs w:val="18"/>
                <w:u w:val="single"/>
              </w:rPr>
            </w:pPr>
            <w:r>
              <w:rPr>
                <w:rFonts w:ascii="Verdana" w:hAnsi="Verdana"/>
                <w:b/>
                <w:bCs/>
                <w:sz w:val="18"/>
                <w:szCs w:val="18"/>
                <w:u w:val="single"/>
              </w:rPr>
              <w:t>Das Attribut "intAddr":</w:t>
            </w:r>
          </w:p>
        </w:tc>
      </w:tr>
      <w:tr w:rsidR="00FC5013" w14:paraId="7C39BF09" w14:textId="77777777" w:rsidTr="00FC5013">
        <w:trPr>
          <w:tblCellSpacing w:w="15" w:type="dxa"/>
        </w:trPr>
        <w:tc>
          <w:tcPr>
            <w:tcW w:w="0" w:type="auto"/>
            <w:vMerge/>
            <w:vAlign w:val="center"/>
            <w:hideMark/>
          </w:tcPr>
          <w:p w14:paraId="2B97B248" w14:textId="77777777" w:rsidR="00FC5013" w:rsidRDefault="00FC5013">
            <w:pPr>
              <w:spacing w:line="300" w:lineRule="atLeast"/>
              <w:jc w:val="both"/>
              <w:rPr>
                <w:rFonts w:ascii="Verdana" w:hAnsi="Verdana"/>
                <w:color w:val="000000"/>
                <w:sz w:val="21"/>
                <w:szCs w:val="21"/>
              </w:rPr>
            </w:pPr>
          </w:p>
        </w:tc>
        <w:tc>
          <w:tcPr>
            <w:tcW w:w="0" w:type="auto"/>
            <w:hideMark/>
          </w:tcPr>
          <w:p w14:paraId="759F40CE" w14:textId="77777777" w:rsidR="00FC5013" w:rsidRDefault="00FC5013">
            <w:pPr>
              <w:spacing w:line="300" w:lineRule="atLeast"/>
              <w:rPr>
                <w:rFonts w:ascii="Verdana" w:hAnsi="Verdana"/>
                <w:sz w:val="21"/>
                <w:szCs w:val="21"/>
              </w:rPr>
            </w:pPr>
            <w:r>
              <w:rPr>
                <w:rFonts w:ascii="Verdana" w:hAnsi="Verdana"/>
                <w:sz w:val="21"/>
                <w:szCs w:val="21"/>
              </w:rPr>
              <w:t xml:space="preserve">Der intAddr String enthält mindestens die folgenden 5 Parameter: </w:t>
            </w:r>
          </w:p>
          <w:p w14:paraId="79861811" w14:textId="77777777" w:rsidR="00FC5013" w:rsidRDefault="00FC5013" w:rsidP="00FC5013">
            <w:pPr>
              <w:numPr>
                <w:ilvl w:val="1"/>
                <w:numId w:val="6"/>
              </w:numPr>
              <w:spacing w:after="0" w:line="300" w:lineRule="atLeast"/>
              <w:ind w:left="225" w:right="450"/>
              <w:rPr>
                <w:rFonts w:ascii="Verdana" w:hAnsi="Verdana"/>
                <w:sz w:val="21"/>
                <w:szCs w:val="21"/>
              </w:rPr>
            </w:pPr>
            <w:r>
              <w:rPr>
                <w:rFonts w:ascii="Verdana" w:hAnsi="Verdana"/>
                <w:sz w:val="21"/>
                <w:szCs w:val="21"/>
              </w:rPr>
              <w:t>die ASDU-Adresse des Objekts</w:t>
            </w:r>
          </w:p>
          <w:p w14:paraId="2856407C" w14:textId="77777777" w:rsidR="00FC5013" w:rsidRDefault="00FC5013" w:rsidP="00FC5013">
            <w:pPr>
              <w:numPr>
                <w:ilvl w:val="1"/>
                <w:numId w:val="6"/>
              </w:numPr>
              <w:spacing w:after="0" w:line="300" w:lineRule="atLeast"/>
              <w:ind w:left="225" w:right="450"/>
              <w:rPr>
                <w:rFonts w:ascii="Verdana" w:hAnsi="Verdana"/>
                <w:sz w:val="21"/>
                <w:szCs w:val="21"/>
              </w:rPr>
            </w:pPr>
            <w:r>
              <w:rPr>
                <w:rFonts w:ascii="Verdana" w:hAnsi="Verdana"/>
                <w:sz w:val="21"/>
                <w:szCs w:val="21"/>
              </w:rPr>
              <w:t xml:space="preserve">seine IEC 60870 Typkennung </w:t>
            </w:r>
          </w:p>
          <w:p w14:paraId="0FF495B7" w14:textId="77777777" w:rsidR="00FC5013" w:rsidRDefault="00FC5013" w:rsidP="00FC5013">
            <w:pPr>
              <w:numPr>
                <w:ilvl w:val="1"/>
                <w:numId w:val="6"/>
              </w:numPr>
              <w:spacing w:after="0" w:line="300" w:lineRule="atLeast"/>
              <w:ind w:left="225" w:right="450"/>
              <w:rPr>
                <w:rFonts w:ascii="Verdana" w:hAnsi="Verdana"/>
                <w:sz w:val="21"/>
                <w:szCs w:val="21"/>
              </w:rPr>
            </w:pPr>
            <w:r>
              <w:rPr>
                <w:rFonts w:ascii="Verdana" w:hAnsi="Verdana"/>
                <w:sz w:val="21"/>
                <w:szCs w:val="21"/>
              </w:rPr>
              <w:t>seine Informationsobjektadresse</w:t>
            </w:r>
          </w:p>
          <w:p w14:paraId="35203797" w14:textId="77777777" w:rsidR="00FC5013" w:rsidRDefault="00FC5013" w:rsidP="00FC5013">
            <w:pPr>
              <w:numPr>
                <w:ilvl w:val="1"/>
                <w:numId w:val="6"/>
              </w:numPr>
              <w:spacing w:after="0" w:line="300" w:lineRule="atLeast"/>
              <w:ind w:left="225" w:right="450"/>
              <w:rPr>
                <w:rFonts w:ascii="Verdana" w:hAnsi="Verdana"/>
                <w:sz w:val="21"/>
                <w:szCs w:val="21"/>
              </w:rPr>
            </w:pPr>
            <w:r>
              <w:rPr>
                <w:rFonts w:ascii="Verdana" w:hAnsi="Verdana"/>
                <w:sz w:val="21"/>
                <w:szCs w:val="21"/>
              </w:rPr>
              <w:t xml:space="preserve">einen Suffix Parameter (normalerweise "1" für interne Zwecke) </w:t>
            </w:r>
          </w:p>
          <w:p w14:paraId="300178D8" w14:textId="77777777" w:rsidR="00FC5013" w:rsidRDefault="00FC5013" w:rsidP="00FC5013">
            <w:pPr>
              <w:numPr>
                <w:ilvl w:val="1"/>
                <w:numId w:val="6"/>
              </w:numPr>
              <w:spacing w:after="0" w:line="300" w:lineRule="atLeast"/>
              <w:ind w:left="225" w:right="450"/>
              <w:rPr>
                <w:rFonts w:ascii="Verdana" w:hAnsi="Verdana"/>
                <w:sz w:val="21"/>
                <w:szCs w:val="21"/>
              </w:rPr>
            </w:pPr>
            <w:r>
              <w:rPr>
                <w:rFonts w:ascii="Verdana" w:hAnsi="Verdana"/>
                <w:sz w:val="21"/>
                <w:szCs w:val="21"/>
              </w:rPr>
              <w:t xml:space="preserve">eine Funktionskonstante (Diese wird durch einen Doppelpunkt von den übrigen Parametern getrennt und wird von Client benötigt, um beim Zugriff auf das Objekt den geeigneten MMS Kommunikationsservice auszuwählen) </w:t>
            </w:r>
          </w:p>
          <w:p w14:paraId="4385B9E8" w14:textId="77777777" w:rsidR="00FC5013" w:rsidRDefault="00FC5013">
            <w:pPr>
              <w:spacing w:line="300" w:lineRule="atLeast"/>
              <w:rPr>
                <w:rFonts w:ascii="Verdana" w:hAnsi="Verdana"/>
                <w:sz w:val="21"/>
                <w:szCs w:val="21"/>
              </w:rPr>
            </w:pPr>
            <w:r>
              <w:rPr>
                <w:rFonts w:ascii="Verdana" w:hAnsi="Verdana"/>
                <w:sz w:val="21"/>
                <w:szCs w:val="21"/>
              </w:rPr>
              <w:t xml:space="preserve">Eventuell sind - abhängig vom IEC 60870 Objekttyp - noch weitere Parameter notwendig, die dann vor dem Doppelpunkt eingefügt werden.. </w:t>
            </w:r>
          </w:p>
        </w:tc>
      </w:tr>
    </w:tbl>
    <w:p w14:paraId="4E62C098" w14:textId="77777777" w:rsidR="00FC5013" w:rsidRDefault="00FC5013" w:rsidP="00FC5013">
      <w:pPr>
        <w:shd w:val="clear" w:color="auto" w:fill="C5CDFC"/>
        <w:spacing w:line="480" w:lineRule="auto"/>
        <w:jc w:val="center"/>
        <w:textAlignment w:val="center"/>
        <w:rPr>
          <w:rFonts w:ascii="Verdana" w:hAnsi="Verdana"/>
          <w:color w:val="003299"/>
          <w:sz w:val="23"/>
          <w:szCs w:val="23"/>
        </w:rPr>
      </w:pPr>
      <w:r>
        <w:rPr>
          <w:rFonts w:ascii="Verdana" w:hAnsi="Verdana"/>
          <w:color w:val="003299"/>
          <w:sz w:val="23"/>
          <w:szCs w:val="23"/>
        </w:rPr>
        <w:t xml:space="preserve">© 2018 IDS GmbH, D-76275 Ettlingen </w:t>
      </w:r>
    </w:p>
    <w:p w14:paraId="3D8358AB" w14:textId="77777777" w:rsidR="00FC5013" w:rsidRDefault="00FC5013" w:rsidP="00FC5013">
      <w:pPr>
        <w:spacing w:line="300" w:lineRule="atLeast"/>
        <w:jc w:val="both"/>
        <w:rPr>
          <w:rFonts w:ascii="Verdana" w:hAnsi="Verdana"/>
          <w:color w:val="000000"/>
          <w:sz w:val="21"/>
          <w:szCs w:val="21"/>
        </w:rPr>
      </w:pPr>
      <w:r>
        <w:rPr>
          <w:rFonts w:ascii="Verdana" w:hAnsi="Verdana"/>
          <w:sz w:val="21"/>
          <w:szCs w:val="21"/>
        </w:rPr>
        <w:pict w14:anchorId="2109A03A">
          <v:rect id="_x0000_i1052"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626"/>
        <w:gridCol w:w="1820"/>
        <w:gridCol w:w="3626"/>
      </w:tblGrid>
      <w:tr w:rsidR="00FC5013" w14:paraId="5FA83B7C" w14:textId="77777777" w:rsidTr="00FC5013">
        <w:trPr>
          <w:tblCellSpacing w:w="15" w:type="dxa"/>
        </w:trPr>
        <w:tc>
          <w:tcPr>
            <w:tcW w:w="2000" w:type="pct"/>
            <w:vAlign w:val="center"/>
            <w:hideMark/>
          </w:tcPr>
          <w:p w14:paraId="72ED5C9A" w14:textId="77777777" w:rsidR="00FC5013" w:rsidRDefault="00FC5013">
            <w:pPr>
              <w:spacing w:line="300" w:lineRule="atLeast"/>
              <w:rPr>
                <w:rFonts w:ascii="Verdana" w:hAnsi="Verdana"/>
                <w:sz w:val="17"/>
                <w:szCs w:val="17"/>
              </w:rPr>
            </w:pPr>
            <w:hyperlink r:id="rId31" w:history="1">
              <w:r>
                <w:rPr>
                  <w:rStyle w:val="Hyperlink"/>
                  <w:sz w:val="17"/>
                  <w:szCs w:val="17"/>
                </w:rPr>
                <w:t>Zurück</w:t>
              </w:r>
            </w:hyperlink>
            <w:r>
              <w:rPr>
                <w:rFonts w:ascii="Verdana" w:hAnsi="Verdana"/>
                <w:sz w:val="17"/>
                <w:szCs w:val="17"/>
              </w:rPr>
              <w:t xml:space="preserve">  </w:t>
            </w:r>
          </w:p>
        </w:tc>
        <w:tc>
          <w:tcPr>
            <w:tcW w:w="1000" w:type="pct"/>
            <w:vAlign w:val="center"/>
            <w:hideMark/>
          </w:tcPr>
          <w:p w14:paraId="170680E6" w14:textId="77777777" w:rsidR="00FC5013" w:rsidRDefault="00FC5013">
            <w:pPr>
              <w:spacing w:line="300" w:lineRule="atLeast"/>
              <w:jc w:val="center"/>
              <w:rPr>
                <w:rFonts w:ascii="Verdana" w:hAnsi="Verdana"/>
                <w:sz w:val="17"/>
                <w:szCs w:val="17"/>
              </w:rPr>
            </w:pPr>
            <w:hyperlink r:id="rId32" w:history="1">
              <w:r>
                <w:rPr>
                  <w:rStyle w:val="Hyperlink"/>
                  <w:sz w:val="17"/>
                  <w:szCs w:val="17"/>
                </w:rPr>
                <w:t>Nach oben</w:t>
              </w:r>
            </w:hyperlink>
          </w:p>
        </w:tc>
        <w:tc>
          <w:tcPr>
            <w:tcW w:w="2000" w:type="pct"/>
            <w:vAlign w:val="center"/>
            <w:hideMark/>
          </w:tcPr>
          <w:p w14:paraId="6F8BC241" w14:textId="77777777" w:rsidR="00FC5013" w:rsidRDefault="00FC5013">
            <w:pPr>
              <w:spacing w:line="300" w:lineRule="atLeast"/>
              <w:jc w:val="right"/>
              <w:rPr>
                <w:rFonts w:ascii="Verdana" w:hAnsi="Verdana"/>
                <w:sz w:val="17"/>
                <w:szCs w:val="17"/>
              </w:rPr>
            </w:pPr>
            <w:r>
              <w:rPr>
                <w:rFonts w:ascii="Verdana" w:hAnsi="Verdana"/>
                <w:sz w:val="17"/>
                <w:szCs w:val="17"/>
              </w:rPr>
              <w:t> </w:t>
            </w:r>
            <w:hyperlink r:id="rId33" w:history="1">
              <w:r>
                <w:rPr>
                  <w:rStyle w:val="Hyperlink"/>
                  <w:sz w:val="17"/>
                  <w:szCs w:val="17"/>
                </w:rPr>
                <w:t>Weiter</w:t>
              </w:r>
            </w:hyperlink>
          </w:p>
        </w:tc>
      </w:tr>
      <w:tr w:rsidR="00FC5013" w14:paraId="2688307C" w14:textId="77777777" w:rsidTr="00FC5013">
        <w:trPr>
          <w:tblCellSpacing w:w="15" w:type="dxa"/>
        </w:trPr>
        <w:tc>
          <w:tcPr>
            <w:tcW w:w="2000" w:type="pct"/>
            <w:hideMark/>
          </w:tcPr>
          <w:p w14:paraId="53FEF842" w14:textId="77777777" w:rsidR="00FC5013" w:rsidRDefault="00FC5013">
            <w:pPr>
              <w:spacing w:line="300" w:lineRule="atLeast"/>
              <w:rPr>
                <w:rFonts w:ascii="Verdana" w:hAnsi="Verdana"/>
                <w:sz w:val="17"/>
                <w:szCs w:val="17"/>
              </w:rPr>
            </w:pPr>
            <w:r>
              <w:rPr>
                <w:rFonts w:ascii="Verdana" w:hAnsi="Verdana"/>
                <w:sz w:val="17"/>
                <w:szCs w:val="17"/>
              </w:rPr>
              <w:t>4. IEC 61850 Server Engineering </w:t>
            </w:r>
          </w:p>
        </w:tc>
        <w:tc>
          <w:tcPr>
            <w:tcW w:w="1000" w:type="pct"/>
            <w:vAlign w:val="center"/>
            <w:hideMark/>
          </w:tcPr>
          <w:p w14:paraId="7786F19C" w14:textId="77777777" w:rsidR="00FC5013" w:rsidRDefault="00FC5013">
            <w:pPr>
              <w:spacing w:line="300" w:lineRule="atLeast"/>
              <w:jc w:val="center"/>
              <w:rPr>
                <w:rFonts w:ascii="Verdana" w:hAnsi="Verdana"/>
                <w:sz w:val="17"/>
                <w:szCs w:val="17"/>
              </w:rPr>
            </w:pPr>
            <w:hyperlink r:id="rId34" w:history="1">
              <w:r>
                <w:rPr>
                  <w:rStyle w:val="Hyperlink"/>
                  <w:sz w:val="17"/>
                  <w:szCs w:val="17"/>
                </w:rPr>
                <w:t>Zum Anfang</w:t>
              </w:r>
            </w:hyperlink>
          </w:p>
        </w:tc>
        <w:tc>
          <w:tcPr>
            <w:tcW w:w="2000" w:type="pct"/>
            <w:hideMark/>
          </w:tcPr>
          <w:p w14:paraId="0EEFF49F" w14:textId="77777777" w:rsidR="00FC5013" w:rsidRDefault="00FC5013">
            <w:pPr>
              <w:spacing w:line="300" w:lineRule="atLeast"/>
              <w:jc w:val="right"/>
              <w:rPr>
                <w:rFonts w:ascii="Verdana" w:hAnsi="Verdana"/>
                <w:sz w:val="17"/>
                <w:szCs w:val="17"/>
              </w:rPr>
            </w:pPr>
            <w:r>
              <w:rPr>
                <w:rFonts w:ascii="Verdana" w:hAnsi="Verdana"/>
                <w:sz w:val="17"/>
                <w:szCs w:val="17"/>
              </w:rPr>
              <w:t> 6. IEC 61850 Kommunikationsapplikation in ACOS ET anlegen</w:t>
            </w:r>
          </w:p>
        </w:tc>
      </w:tr>
    </w:tbl>
    <w:p w14:paraId="4AE258D5" w14:textId="77777777" w:rsidR="00301BE4" w:rsidRDefault="00301BE4">
      <w:bookmarkStart w:id="15" w:name="_GoBack"/>
      <w:bookmarkEnd w:id="15"/>
    </w:p>
    <w:sectPr w:rsidR="00301BE4" w:rsidSect="00007B3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0D2674"/>
    <w:multiLevelType w:val="multilevel"/>
    <w:tmpl w:val="D912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8A191C"/>
    <w:multiLevelType w:val="multilevel"/>
    <w:tmpl w:val="148ED2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027609"/>
    <w:multiLevelType w:val="multilevel"/>
    <w:tmpl w:val="2BA6C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3E0577"/>
    <w:multiLevelType w:val="multilevel"/>
    <w:tmpl w:val="B6C07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377255"/>
    <w:multiLevelType w:val="multilevel"/>
    <w:tmpl w:val="F64EB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E27BC8"/>
    <w:multiLevelType w:val="multilevel"/>
    <w:tmpl w:val="E1F06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1F6"/>
    <w:rsid w:val="00007B3C"/>
    <w:rsid w:val="00034F02"/>
    <w:rsid w:val="00301BE4"/>
    <w:rsid w:val="007831F6"/>
    <w:rsid w:val="00BB44C6"/>
    <w:rsid w:val="00DA7821"/>
    <w:rsid w:val="00E61031"/>
    <w:rsid w:val="00FC5013"/>
  </w:rsids>
  <m:mathPr>
    <m:mathFont m:val="Cambria Math"/>
    <m:brkBin m:val="before"/>
    <m:brkBinSub m:val="--"/>
    <m:smallFrac m:val="0"/>
    <m:dispDef/>
    <m:lMargin m:val="0"/>
    <m:rMargin m:val="0"/>
    <m:defJc m:val="centerGroup"/>
    <m:wrapIndent m:val="1440"/>
    <m:intLim m:val="subSup"/>
    <m:naryLim m:val="undOvr"/>
  </m:mathPr>
  <w:themeFontLang w:val="de-DE"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64E5A"/>
  <w15:chartTrackingRefBased/>
  <w15:docId w15:val="{97E4D831-DCDC-4109-AA2F-7DA36E87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link w:val="berschrift1Zchn"/>
    <w:uiPriority w:val="9"/>
    <w:qFormat/>
    <w:rsid w:val="00DA7821"/>
    <w:pPr>
      <w:shd w:val="clear" w:color="auto" w:fill="DDDDDD"/>
      <w:spacing w:before="225" w:after="225" w:line="600" w:lineRule="auto"/>
      <w:jc w:val="center"/>
      <w:outlineLvl w:val="0"/>
    </w:pPr>
    <w:rPr>
      <w:rFonts w:ascii="Verdana" w:eastAsia="Times New Roman" w:hAnsi="Verdana" w:cs="Times New Roman"/>
      <w:b/>
      <w:bCs/>
      <w:color w:val="000000"/>
      <w:kern w:val="36"/>
      <w:sz w:val="36"/>
      <w:szCs w:val="36"/>
      <w:lang w:eastAsia="de-DE"/>
    </w:rPr>
  </w:style>
  <w:style w:type="paragraph" w:styleId="berschrift2">
    <w:name w:val="heading 2"/>
    <w:basedOn w:val="Standard"/>
    <w:link w:val="berschrift2Zchn"/>
    <w:uiPriority w:val="9"/>
    <w:qFormat/>
    <w:rsid w:val="00DA7821"/>
    <w:pPr>
      <w:shd w:val="clear" w:color="auto" w:fill="DDDDDD"/>
      <w:spacing w:before="225" w:after="225" w:line="240" w:lineRule="auto"/>
      <w:outlineLvl w:val="1"/>
    </w:pPr>
    <w:rPr>
      <w:rFonts w:ascii="Verdana" w:eastAsia="Times New Roman" w:hAnsi="Verdana" w:cs="Times New Roman"/>
      <w:b/>
      <w:bCs/>
      <w:color w:val="000000"/>
      <w:sz w:val="30"/>
      <w:szCs w:val="30"/>
      <w:lang w:eastAsia="de-DE"/>
    </w:rPr>
  </w:style>
  <w:style w:type="paragraph" w:styleId="berschrift3">
    <w:name w:val="heading 3"/>
    <w:basedOn w:val="Standard"/>
    <w:next w:val="Standard"/>
    <w:link w:val="berschrift3Zchn"/>
    <w:uiPriority w:val="9"/>
    <w:semiHidden/>
    <w:unhideWhenUsed/>
    <w:qFormat/>
    <w:rsid w:val="00FC50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FC50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A7821"/>
    <w:rPr>
      <w:rFonts w:ascii="Verdana" w:eastAsia="Times New Roman" w:hAnsi="Verdana" w:cs="Times New Roman"/>
      <w:b/>
      <w:bCs/>
      <w:color w:val="000000"/>
      <w:kern w:val="36"/>
      <w:sz w:val="36"/>
      <w:szCs w:val="36"/>
      <w:shd w:val="clear" w:color="auto" w:fill="DDDDDD"/>
      <w:lang w:eastAsia="de-DE"/>
    </w:rPr>
  </w:style>
  <w:style w:type="character" w:customStyle="1" w:styleId="berschrift2Zchn">
    <w:name w:val="Überschrift 2 Zchn"/>
    <w:basedOn w:val="Absatz-Standardschriftart"/>
    <w:link w:val="berschrift2"/>
    <w:uiPriority w:val="9"/>
    <w:rsid w:val="00DA7821"/>
    <w:rPr>
      <w:rFonts w:ascii="Verdana" w:eastAsia="Times New Roman" w:hAnsi="Verdana" w:cs="Times New Roman"/>
      <w:b/>
      <w:bCs/>
      <w:color w:val="000000"/>
      <w:sz w:val="30"/>
      <w:szCs w:val="30"/>
      <w:shd w:val="clear" w:color="auto" w:fill="DDDDDD"/>
      <w:lang w:eastAsia="de-DE"/>
    </w:rPr>
  </w:style>
  <w:style w:type="character" w:styleId="Hyperlink">
    <w:name w:val="Hyperlink"/>
    <w:basedOn w:val="Absatz-Standardschriftart"/>
    <w:uiPriority w:val="99"/>
    <w:semiHidden/>
    <w:unhideWhenUsed/>
    <w:rsid w:val="00DA7821"/>
    <w:rPr>
      <w:color w:val="0000FF"/>
      <w:u w:val="single"/>
    </w:rPr>
  </w:style>
  <w:style w:type="paragraph" w:styleId="StandardWeb">
    <w:name w:val="Normal (Web)"/>
    <w:basedOn w:val="Standard"/>
    <w:uiPriority w:val="99"/>
    <w:semiHidden/>
    <w:unhideWhenUsed/>
    <w:rsid w:val="00DA7821"/>
    <w:pPr>
      <w:spacing w:after="90" w:line="300" w:lineRule="atLeast"/>
      <w:ind w:left="225" w:right="225"/>
    </w:pPr>
    <w:rPr>
      <w:rFonts w:ascii="Verdana" w:eastAsia="Times New Roman" w:hAnsi="Verdana" w:cs="Times New Roman"/>
      <w:color w:val="000000"/>
      <w:sz w:val="21"/>
      <w:szCs w:val="21"/>
      <w:lang w:eastAsia="de-DE"/>
    </w:rPr>
  </w:style>
  <w:style w:type="character" w:styleId="Fett">
    <w:name w:val="Strong"/>
    <w:basedOn w:val="Absatz-Standardschriftart"/>
    <w:uiPriority w:val="22"/>
    <w:qFormat/>
    <w:rsid w:val="00DA7821"/>
    <w:rPr>
      <w:b/>
      <w:bCs/>
    </w:rPr>
  </w:style>
  <w:style w:type="character" w:customStyle="1" w:styleId="berschrift3Zchn">
    <w:name w:val="Überschrift 3 Zchn"/>
    <w:basedOn w:val="Absatz-Standardschriftart"/>
    <w:link w:val="berschrift3"/>
    <w:uiPriority w:val="9"/>
    <w:semiHidden/>
    <w:rsid w:val="00FC501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FC501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40209">
      <w:bodyDiv w:val="1"/>
      <w:marLeft w:val="0"/>
      <w:marRight w:val="0"/>
      <w:marTop w:val="60"/>
      <w:marBottom w:val="100"/>
      <w:divBdr>
        <w:top w:val="none" w:sz="0" w:space="0" w:color="auto"/>
        <w:left w:val="none" w:sz="0" w:space="0" w:color="auto"/>
        <w:bottom w:val="none" w:sz="0" w:space="0" w:color="auto"/>
        <w:right w:val="none" w:sz="0" w:space="0" w:color="auto"/>
      </w:divBdr>
      <w:divsChild>
        <w:div w:id="1650329121">
          <w:marLeft w:val="0"/>
          <w:marRight w:val="0"/>
          <w:marTop w:val="0"/>
          <w:marBottom w:val="150"/>
          <w:divBdr>
            <w:top w:val="none" w:sz="0" w:space="0" w:color="auto"/>
            <w:left w:val="none" w:sz="0" w:space="0" w:color="auto"/>
            <w:bottom w:val="none" w:sz="0" w:space="0" w:color="auto"/>
            <w:right w:val="none" w:sz="0" w:space="0" w:color="auto"/>
          </w:divBdr>
        </w:div>
        <w:div w:id="1625037341">
          <w:marLeft w:val="0"/>
          <w:marRight w:val="0"/>
          <w:marTop w:val="0"/>
          <w:marBottom w:val="0"/>
          <w:divBdr>
            <w:top w:val="none" w:sz="0" w:space="0" w:color="auto"/>
            <w:left w:val="none" w:sz="0" w:space="0" w:color="auto"/>
            <w:bottom w:val="none" w:sz="0" w:space="0" w:color="auto"/>
            <w:right w:val="none" w:sz="0" w:space="0" w:color="auto"/>
          </w:divBdr>
          <w:divsChild>
            <w:div w:id="634606084">
              <w:marLeft w:val="0"/>
              <w:marRight w:val="0"/>
              <w:marTop w:val="0"/>
              <w:marBottom w:val="0"/>
              <w:divBdr>
                <w:top w:val="none" w:sz="0" w:space="0" w:color="auto"/>
                <w:left w:val="none" w:sz="0" w:space="0" w:color="auto"/>
                <w:bottom w:val="none" w:sz="0" w:space="0" w:color="auto"/>
                <w:right w:val="none" w:sz="0" w:space="0" w:color="auto"/>
              </w:divBdr>
              <w:divsChild>
                <w:div w:id="262230563">
                  <w:marLeft w:val="0"/>
                  <w:marRight w:val="0"/>
                  <w:marTop w:val="0"/>
                  <w:marBottom w:val="0"/>
                  <w:divBdr>
                    <w:top w:val="none" w:sz="0" w:space="0" w:color="auto"/>
                    <w:left w:val="none" w:sz="0" w:space="0" w:color="auto"/>
                    <w:bottom w:val="none" w:sz="0" w:space="0" w:color="auto"/>
                    <w:right w:val="none" w:sz="0" w:space="0" w:color="auto"/>
                  </w:divBdr>
                  <w:divsChild>
                    <w:div w:id="92897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93005">
              <w:marLeft w:val="75"/>
              <w:marRight w:val="75"/>
              <w:marTop w:val="75"/>
              <w:marBottom w:val="75"/>
              <w:divBdr>
                <w:top w:val="none" w:sz="0" w:space="0" w:color="auto"/>
                <w:left w:val="none" w:sz="0" w:space="0" w:color="auto"/>
                <w:bottom w:val="none" w:sz="0" w:space="0" w:color="auto"/>
                <w:right w:val="none" w:sz="0" w:space="0" w:color="auto"/>
              </w:divBdr>
              <w:divsChild>
                <w:div w:id="2127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5064">
          <w:marLeft w:val="0"/>
          <w:marRight w:val="0"/>
          <w:marTop w:val="225"/>
          <w:marBottom w:val="0"/>
          <w:divBdr>
            <w:top w:val="none" w:sz="0" w:space="0" w:color="auto"/>
            <w:left w:val="none" w:sz="0" w:space="0" w:color="auto"/>
            <w:bottom w:val="none" w:sz="0" w:space="0" w:color="auto"/>
            <w:right w:val="none" w:sz="0" w:space="0" w:color="auto"/>
          </w:divBdr>
        </w:div>
        <w:div w:id="385876936">
          <w:marLeft w:val="0"/>
          <w:marRight w:val="0"/>
          <w:marTop w:val="0"/>
          <w:marBottom w:val="0"/>
          <w:divBdr>
            <w:top w:val="none" w:sz="0" w:space="0" w:color="auto"/>
            <w:left w:val="none" w:sz="0" w:space="0" w:color="auto"/>
            <w:bottom w:val="none" w:sz="0" w:space="0" w:color="auto"/>
            <w:right w:val="none" w:sz="0" w:space="0" w:color="auto"/>
          </w:divBdr>
        </w:div>
      </w:divsChild>
    </w:div>
    <w:div w:id="936983961">
      <w:bodyDiv w:val="1"/>
      <w:marLeft w:val="0"/>
      <w:marRight w:val="0"/>
      <w:marTop w:val="60"/>
      <w:marBottom w:val="100"/>
      <w:divBdr>
        <w:top w:val="none" w:sz="0" w:space="0" w:color="auto"/>
        <w:left w:val="none" w:sz="0" w:space="0" w:color="auto"/>
        <w:bottom w:val="none" w:sz="0" w:space="0" w:color="auto"/>
        <w:right w:val="none" w:sz="0" w:space="0" w:color="auto"/>
      </w:divBdr>
      <w:divsChild>
        <w:div w:id="291912677">
          <w:marLeft w:val="0"/>
          <w:marRight w:val="0"/>
          <w:marTop w:val="0"/>
          <w:marBottom w:val="150"/>
          <w:divBdr>
            <w:top w:val="none" w:sz="0" w:space="0" w:color="auto"/>
            <w:left w:val="none" w:sz="0" w:space="0" w:color="auto"/>
            <w:bottom w:val="none" w:sz="0" w:space="0" w:color="auto"/>
            <w:right w:val="none" w:sz="0" w:space="0" w:color="auto"/>
          </w:divBdr>
        </w:div>
        <w:div w:id="965156268">
          <w:marLeft w:val="0"/>
          <w:marRight w:val="0"/>
          <w:marTop w:val="0"/>
          <w:marBottom w:val="0"/>
          <w:divBdr>
            <w:top w:val="none" w:sz="0" w:space="0" w:color="auto"/>
            <w:left w:val="none" w:sz="0" w:space="0" w:color="auto"/>
            <w:bottom w:val="none" w:sz="0" w:space="0" w:color="auto"/>
            <w:right w:val="none" w:sz="0" w:space="0" w:color="auto"/>
          </w:divBdr>
          <w:divsChild>
            <w:div w:id="226887142">
              <w:marLeft w:val="0"/>
              <w:marRight w:val="0"/>
              <w:marTop w:val="0"/>
              <w:marBottom w:val="0"/>
              <w:divBdr>
                <w:top w:val="none" w:sz="0" w:space="0" w:color="auto"/>
                <w:left w:val="none" w:sz="0" w:space="0" w:color="auto"/>
                <w:bottom w:val="none" w:sz="0" w:space="0" w:color="auto"/>
                <w:right w:val="none" w:sz="0" w:space="0" w:color="auto"/>
              </w:divBdr>
              <w:divsChild>
                <w:div w:id="1070693151">
                  <w:marLeft w:val="0"/>
                  <w:marRight w:val="0"/>
                  <w:marTop w:val="0"/>
                  <w:marBottom w:val="0"/>
                  <w:divBdr>
                    <w:top w:val="none" w:sz="0" w:space="0" w:color="auto"/>
                    <w:left w:val="none" w:sz="0" w:space="0" w:color="auto"/>
                    <w:bottom w:val="none" w:sz="0" w:space="0" w:color="auto"/>
                    <w:right w:val="none" w:sz="0" w:space="0" w:color="auto"/>
                  </w:divBdr>
                  <w:divsChild>
                    <w:div w:id="17141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16378">
              <w:marLeft w:val="0"/>
              <w:marRight w:val="0"/>
              <w:marTop w:val="0"/>
              <w:marBottom w:val="0"/>
              <w:divBdr>
                <w:top w:val="none" w:sz="0" w:space="0" w:color="auto"/>
                <w:left w:val="none" w:sz="0" w:space="0" w:color="auto"/>
                <w:bottom w:val="none" w:sz="0" w:space="0" w:color="auto"/>
                <w:right w:val="none" w:sz="0" w:space="0" w:color="auto"/>
              </w:divBdr>
            </w:div>
            <w:div w:id="1712265753">
              <w:marLeft w:val="720"/>
              <w:marRight w:val="720"/>
              <w:marTop w:val="0"/>
              <w:marBottom w:val="0"/>
              <w:divBdr>
                <w:top w:val="none" w:sz="0" w:space="0" w:color="auto"/>
                <w:left w:val="none" w:sz="0" w:space="0" w:color="auto"/>
                <w:bottom w:val="none" w:sz="0" w:space="0" w:color="auto"/>
                <w:right w:val="none" w:sz="0" w:space="0" w:color="auto"/>
              </w:divBdr>
            </w:div>
            <w:div w:id="1120228519">
              <w:marLeft w:val="0"/>
              <w:marRight w:val="0"/>
              <w:marTop w:val="0"/>
              <w:marBottom w:val="0"/>
              <w:divBdr>
                <w:top w:val="none" w:sz="0" w:space="0" w:color="auto"/>
                <w:left w:val="none" w:sz="0" w:space="0" w:color="auto"/>
                <w:bottom w:val="none" w:sz="0" w:space="0" w:color="auto"/>
                <w:right w:val="none" w:sz="0" w:space="0" w:color="auto"/>
              </w:divBdr>
              <w:divsChild>
                <w:div w:id="1390227917">
                  <w:marLeft w:val="0"/>
                  <w:marRight w:val="0"/>
                  <w:marTop w:val="0"/>
                  <w:marBottom w:val="0"/>
                  <w:divBdr>
                    <w:top w:val="none" w:sz="0" w:space="0" w:color="auto"/>
                    <w:left w:val="none" w:sz="0" w:space="0" w:color="auto"/>
                    <w:bottom w:val="none" w:sz="0" w:space="0" w:color="auto"/>
                    <w:right w:val="none" w:sz="0" w:space="0" w:color="auto"/>
                  </w:divBdr>
                  <w:divsChild>
                    <w:div w:id="1404714471">
                      <w:marLeft w:val="0"/>
                      <w:marRight w:val="0"/>
                      <w:marTop w:val="0"/>
                      <w:marBottom w:val="0"/>
                      <w:divBdr>
                        <w:top w:val="none" w:sz="0" w:space="0" w:color="auto"/>
                        <w:left w:val="none" w:sz="0" w:space="0" w:color="auto"/>
                        <w:bottom w:val="none" w:sz="0" w:space="0" w:color="auto"/>
                        <w:right w:val="none" w:sz="0" w:space="0" w:color="auto"/>
                      </w:divBdr>
                      <w:divsChild>
                        <w:div w:id="129664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2195">
                  <w:marLeft w:val="225"/>
                  <w:marRight w:val="450"/>
                  <w:marTop w:val="225"/>
                  <w:marBottom w:val="225"/>
                  <w:divBdr>
                    <w:top w:val="none" w:sz="0" w:space="0" w:color="auto"/>
                    <w:left w:val="none" w:sz="0" w:space="0" w:color="auto"/>
                    <w:bottom w:val="none" w:sz="0" w:space="0" w:color="auto"/>
                    <w:right w:val="none" w:sz="0" w:space="0" w:color="auto"/>
                  </w:divBdr>
                </w:div>
              </w:divsChild>
            </w:div>
          </w:divsChild>
        </w:div>
        <w:div w:id="1307777230">
          <w:marLeft w:val="0"/>
          <w:marRight w:val="0"/>
          <w:marTop w:val="225"/>
          <w:marBottom w:val="0"/>
          <w:divBdr>
            <w:top w:val="none" w:sz="0" w:space="0" w:color="auto"/>
            <w:left w:val="none" w:sz="0" w:space="0" w:color="auto"/>
            <w:bottom w:val="none" w:sz="0" w:space="0" w:color="auto"/>
            <w:right w:val="none" w:sz="0" w:space="0" w:color="auto"/>
          </w:divBdr>
        </w:div>
        <w:div w:id="875504430">
          <w:marLeft w:val="0"/>
          <w:marRight w:val="0"/>
          <w:marTop w:val="0"/>
          <w:marBottom w:val="0"/>
          <w:divBdr>
            <w:top w:val="none" w:sz="0" w:space="0" w:color="auto"/>
            <w:left w:val="none" w:sz="0" w:space="0" w:color="auto"/>
            <w:bottom w:val="none" w:sz="0" w:space="0" w:color="auto"/>
            <w:right w:val="none" w:sz="0" w:space="0" w:color="auto"/>
          </w:divBdr>
        </w:div>
      </w:divsChild>
    </w:div>
    <w:div w:id="1001541594">
      <w:bodyDiv w:val="1"/>
      <w:marLeft w:val="0"/>
      <w:marRight w:val="0"/>
      <w:marTop w:val="60"/>
      <w:marBottom w:val="100"/>
      <w:divBdr>
        <w:top w:val="none" w:sz="0" w:space="0" w:color="auto"/>
        <w:left w:val="none" w:sz="0" w:space="0" w:color="auto"/>
        <w:bottom w:val="none" w:sz="0" w:space="0" w:color="auto"/>
        <w:right w:val="none" w:sz="0" w:space="0" w:color="auto"/>
      </w:divBdr>
      <w:divsChild>
        <w:div w:id="1186334237">
          <w:marLeft w:val="0"/>
          <w:marRight w:val="0"/>
          <w:marTop w:val="0"/>
          <w:marBottom w:val="150"/>
          <w:divBdr>
            <w:top w:val="none" w:sz="0" w:space="0" w:color="auto"/>
            <w:left w:val="none" w:sz="0" w:space="0" w:color="auto"/>
            <w:bottom w:val="none" w:sz="0" w:space="0" w:color="auto"/>
            <w:right w:val="none" w:sz="0" w:space="0" w:color="auto"/>
          </w:divBdr>
        </w:div>
        <w:div w:id="1934899208">
          <w:marLeft w:val="0"/>
          <w:marRight w:val="0"/>
          <w:marTop w:val="0"/>
          <w:marBottom w:val="0"/>
          <w:divBdr>
            <w:top w:val="none" w:sz="0" w:space="0" w:color="auto"/>
            <w:left w:val="none" w:sz="0" w:space="0" w:color="auto"/>
            <w:bottom w:val="none" w:sz="0" w:space="0" w:color="auto"/>
            <w:right w:val="none" w:sz="0" w:space="0" w:color="auto"/>
          </w:divBdr>
          <w:divsChild>
            <w:div w:id="693271695">
              <w:marLeft w:val="0"/>
              <w:marRight w:val="0"/>
              <w:marTop w:val="0"/>
              <w:marBottom w:val="0"/>
              <w:divBdr>
                <w:top w:val="none" w:sz="0" w:space="0" w:color="auto"/>
                <w:left w:val="none" w:sz="0" w:space="0" w:color="auto"/>
                <w:bottom w:val="none" w:sz="0" w:space="0" w:color="auto"/>
                <w:right w:val="none" w:sz="0" w:space="0" w:color="auto"/>
              </w:divBdr>
              <w:divsChild>
                <w:div w:id="1679766856">
                  <w:marLeft w:val="0"/>
                  <w:marRight w:val="0"/>
                  <w:marTop w:val="0"/>
                  <w:marBottom w:val="0"/>
                  <w:divBdr>
                    <w:top w:val="none" w:sz="0" w:space="0" w:color="auto"/>
                    <w:left w:val="none" w:sz="0" w:space="0" w:color="auto"/>
                    <w:bottom w:val="none" w:sz="0" w:space="0" w:color="auto"/>
                    <w:right w:val="none" w:sz="0" w:space="0" w:color="auto"/>
                  </w:divBdr>
                  <w:divsChild>
                    <w:div w:id="279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5506">
              <w:marLeft w:val="0"/>
              <w:marRight w:val="0"/>
              <w:marTop w:val="0"/>
              <w:marBottom w:val="0"/>
              <w:divBdr>
                <w:top w:val="none" w:sz="0" w:space="0" w:color="auto"/>
                <w:left w:val="none" w:sz="0" w:space="0" w:color="auto"/>
                <w:bottom w:val="none" w:sz="0" w:space="0" w:color="auto"/>
                <w:right w:val="none" w:sz="0" w:space="0" w:color="auto"/>
              </w:divBdr>
              <w:divsChild>
                <w:div w:id="1250044823">
                  <w:marLeft w:val="225"/>
                  <w:marRight w:val="450"/>
                  <w:marTop w:val="225"/>
                  <w:marBottom w:val="225"/>
                  <w:divBdr>
                    <w:top w:val="none" w:sz="0" w:space="0" w:color="auto"/>
                    <w:left w:val="none" w:sz="0" w:space="0" w:color="auto"/>
                    <w:bottom w:val="none" w:sz="0" w:space="0" w:color="auto"/>
                    <w:right w:val="none" w:sz="0" w:space="0" w:color="auto"/>
                  </w:divBdr>
                </w:div>
                <w:div w:id="1138646040">
                  <w:marLeft w:val="225"/>
                  <w:marRight w:val="450"/>
                  <w:marTop w:val="225"/>
                  <w:marBottom w:val="225"/>
                  <w:divBdr>
                    <w:top w:val="none" w:sz="0" w:space="0" w:color="auto"/>
                    <w:left w:val="none" w:sz="0" w:space="0" w:color="auto"/>
                    <w:bottom w:val="none" w:sz="0" w:space="0" w:color="auto"/>
                    <w:right w:val="none" w:sz="0" w:space="0" w:color="auto"/>
                  </w:divBdr>
                </w:div>
              </w:divsChild>
            </w:div>
            <w:div w:id="2017225952">
              <w:marLeft w:val="0"/>
              <w:marRight w:val="0"/>
              <w:marTop w:val="0"/>
              <w:marBottom w:val="0"/>
              <w:divBdr>
                <w:top w:val="none" w:sz="0" w:space="0" w:color="auto"/>
                <w:left w:val="none" w:sz="0" w:space="0" w:color="auto"/>
                <w:bottom w:val="none" w:sz="0" w:space="0" w:color="auto"/>
                <w:right w:val="none" w:sz="0" w:space="0" w:color="auto"/>
              </w:divBdr>
              <w:divsChild>
                <w:div w:id="679165107">
                  <w:marLeft w:val="0"/>
                  <w:marRight w:val="0"/>
                  <w:marTop w:val="0"/>
                  <w:marBottom w:val="0"/>
                  <w:divBdr>
                    <w:top w:val="none" w:sz="0" w:space="0" w:color="auto"/>
                    <w:left w:val="none" w:sz="0" w:space="0" w:color="auto"/>
                    <w:bottom w:val="none" w:sz="0" w:space="0" w:color="auto"/>
                    <w:right w:val="none" w:sz="0" w:space="0" w:color="auto"/>
                  </w:divBdr>
                  <w:divsChild>
                    <w:div w:id="286621212">
                      <w:marLeft w:val="0"/>
                      <w:marRight w:val="0"/>
                      <w:marTop w:val="0"/>
                      <w:marBottom w:val="0"/>
                      <w:divBdr>
                        <w:top w:val="none" w:sz="0" w:space="0" w:color="auto"/>
                        <w:left w:val="none" w:sz="0" w:space="0" w:color="auto"/>
                        <w:bottom w:val="none" w:sz="0" w:space="0" w:color="auto"/>
                        <w:right w:val="none" w:sz="0" w:space="0" w:color="auto"/>
                      </w:divBdr>
                      <w:divsChild>
                        <w:div w:id="694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38951">
                  <w:marLeft w:val="0"/>
                  <w:marRight w:val="0"/>
                  <w:marTop w:val="0"/>
                  <w:marBottom w:val="0"/>
                  <w:divBdr>
                    <w:top w:val="none" w:sz="0" w:space="0" w:color="auto"/>
                    <w:left w:val="none" w:sz="0" w:space="0" w:color="auto"/>
                    <w:bottom w:val="none" w:sz="0" w:space="0" w:color="auto"/>
                    <w:right w:val="none" w:sz="0" w:space="0" w:color="auto"/>
                  </w:divBdr>
                  <w:divsChild>
                    <w:div w:id="1614289289">
                      <w:marLeft w:val="0"/>
                      <w:marRight w:val="0"/>
                      <w:marTop w:val="0"/>
                      <w:marBottom w:val="0"/>
                      <w:divBdr>
                        <w:top w:val="none" w:sz="0" w:space="0" w:color="auto"/>
                        <w:left w:val="none" w:sz="0" w:space="0" w:color="auto"/>
                        <w:bottom w:val="none" w:sz="0" w:space="0" w:color="auto"/>
                        <w:right w:val="none" w:sz="0" w:space="0" w:color="auto"/>
                      </w:divBdr>
                      <w:divsChild>
                        <w:div w:id="311372589">
                          <w:marLeft w:val="0"/>
                          <w:marRight w:val="0"/>
                          <w:marTop w:val="0"/>
                          <w:marBottom w:val="0"/>
                          <w:divBdr>
                            <w:top w:val="none" w:sz="0" w:space="0" w:color="auto"/>
                            <w:left w:val="none" w:sz="0" w:space="0" w:color="auto"/>
                            <w:bottom w:val="none" w:sz="0" w:space="0" w:color="auto"/>
                            <w:right w:val="none" w:sz="0" w:space="0" w:color="auto"/>
                          </w:divBdr>
                          <w:divsChild>
                            <w:div w:id="12567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7922">
                      <w:marLeft w:val="720"/>
                      <w:marRight w:val="720"/>
                      <w:marTop w:val="0"/>
                      <w:marBottom w:val="0"/>
                      <w:divBdr>
                        <w:top w:val="none" w:sz="0" w:space="0" w:color="auto"/>
                        <w:left w:val="none" w:sz="0" w:space="0" w:color="auto"/>
                        <w:bottom w:val="none" w:sz="0" w:space="0" w:color="auto"/>
                        <w:right w:val="none" w:sz="0" w:space="0" w:color="auto"/>
                      </w:divBdr>
                    </w:div>
                  </w:divsChild>
                </w:div>
                <w:div w:id="2018001347">
                  <w:marLeft w:val="0"/>
                  <w:marRight w:val="0"/>
                  <w:marTop w:val="0"/>
                  <w:marBottom w:val="0"/>
                  <w:divBdr>
                    <w:top w:val="none" w:sz="0" w:space="0" w:color="auto"/>
                    <w:left w:val="none" w:sz="0" w:space="0" w:color="auto"/>
                    <w:bottom w:val="none" w:sz="0" w:space="0" w:color="auto"/>
                    <w:right w:val="none" w:sz="0" w:space="0" w:color="auto"/>
                  </w:divBdr>
                  <w:divsChild>
                    <w:div w:id="21903078">
                      <w:marLeft w:val="0"/>
                      <w:marRight w:val="0"/>
                      <w:marTop w:val="0"/>
                      <w:marBottom w:val="0"/>
                      <w:divBdr>
                        <w:top w:val="none" w:sz="0" w:space="0" w:color="auto"/>
                        <w:left w:val="none" w:sz="0" w:space="0" w:color="auto"/>
                        <w:bottom w:val="none" w:sz="0" w:space="0" w:color="auto"/>
                        <w:right w:val="none" w:sz="0" w:space="0" w:color="auto"/>
                      </w:divBdr>
                      <w:divsChild>
                        <w:div w:id="1595747404">
                          <w:marLeft w:val="0"/>
                          <w:marRight w:val="0"/>
                          <w:marTop w:val="0"/>
                          <w:marBottom w:val="0"/>
                          <w:divBdr>
                            <w:top w:val="none" w:sz="0" w:space="0" w:color="auto"/>
                            <w:left w:val="none" w:sz="0" w:space="0" w:color="auto"/>
                            <w:bottom w:val="none" w:sz="0" w:space="0" w:color="auto"/>
                            <w:right w:val="none" w:sz="0" w:space="0" w:color="auto"/>
                          </w:divBdr>
                          <w:divsChild>
                            <w:div w:id="92930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3856">
                      <w:marLeft w:val="0"/>
                      <w:marRight w:val="0"/>
                      <w:marTop w:val="0"/>
                      <w:marBottom w:val="0"/>
                      <w:divBdr>
                        <w:top w:val="none" w:sz="0" w:space="0" w:color="auto"/>
                        <w:left w:val="none" w:sz="0" w:space="0" w:color="auto"/>
                        <w:bottom w:val="none" w:sz="0" w:space="0" w:color="auto"/>
                        <w:right w:val="none" w:sz="0" w:space="0" w:color="auto"/>
                      </w:divBdr>
                      <w:divsChild>
                        <w:div w:id="340401414">
                          <w:marLeft w:val="75"/>
                          <w:marRight w:val="75"/>
                          <w:marTop w:val="75"/>
                          <w:marBottom w:val="75"/>
                          <w:divBdr>
                            <w:top w:val="none" w:sz="0" w:space="0" w:color="auto"/>
                            <w:left w:val="none" w:sz="0" w:space="0" w:color="auto"/>
                            <w:bottom w:val="none" w:sz="0" w:space="0" w:color="auto"/>
                            <w:right w:val="none" w:sz="0" w:space="0" w:color="auto"/>
                          </w:divBdr>
                          <w:divsChild>
                            <w:div w:id="123831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49811">
              <w:marLeft w:val="0"/>
              <w:marRight w:val="0"/>
              <w:marTop w:val="0"/>
              <w:marBottom w:val="0"/>
              <w:divBdr>
                <w:top w:val="none" w:sz="0" w:space="0" w:color="auto"/>
                <w:left w:val="none" w:sz="0" w:space="0" w:color="auto"/>
                <w:bottom w:val="none" w:sz="0" w:space="0" w:color="auto"/>
                <w:right w:val="none" w:sz="0" w:space="0" w:color="auto"/>
              </w:divBdr>
              <w:divsChild>
                <w:div w:id="1564440949">
                  <w:marLeft w:val="0"/>
                  <w:marRight w:val="0"/>
                  <w:marTop w:val="0"/>
                  <w:marBottom w:val="0"/>
                  <w:divBdr>
                    <w:top w:val="none" w:sz="0" w:space="0" w:color="auto"/>
                    <w:left w:val="none" w:sz="0" w:space="0" w:color="auto"/>
                    <w:bottom w:val="none" w:sz="0" w:space="0" w:color="auto"/>
                    <w:right w:val="none" w:sz="0" w:space="0" w:color="auto"/>
                  </w:divBdr>
                  <w:divsChild>
                    <w:div w:id="1318150136">
                      <w:marLeft w:val="0"/>
                      <w:marRight w:val="0"/>
                      <w:marTop w:val="0"/>
                      <w:marBottom w:val="0"/>
                      <w:divBdr>
                        <w:top w:val="none" w:sz="0" w:space="0" w:color="auto"/>
                        <w:left w:val="none" w:sz="0" w:space="0" w:color="auto"/>
                        <w:bottom w:val="none" w:sz="0" w:space="0" w:color="auto"/>
                        <w:right w:val="none" w:sz="0" w:space="0" w:color="auto"/>
                      </w:divBdr>
                      <w:divsChild>
                        <w:div w:id="177825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817">
                  <w:marLeft w:val="0"/>
                  <w:marRight w:val="0"/>
                  <w:marTop w:val="0"/>
                  <w:marBottom w:val="0"/>
                  <w:divBdr>
                    <w:top w:val="none" w:sz="0" w:space="0" w:color="auto"/>
                    <w:left w:val="none" w:sz="0" w:space="0" w:color="auto"/>
                    <w:bottom w:val="none" w:sz="0" w:space="0" w:color="auto"/>
                    <w:right w:val="none" w:sz="0" w:space="0" w:color="auto"/>
                  </w:divBdr>
                  <w:divsChild>
                    <w:div w:id="989140629">
                      <w:marLeft w:val="0"/>
                      <w:marRight w:val="0"/>
                      <w:marTop w:val="0"/>
                      <w:marBottom w:val="0"/>
                      <w:divBdr>
                        <w:top w:val="none" w:sz="0" w:space="0" w:color="auto"/>
                        <w:left w:val="none" w:sz="0" w:space="0" w:color="auto"/>
                        <w:bottom w:val="none" w:sz="0" w:space="0" w:color="auto"/>
                        <w:right w:val="none" w:sz="0" w:space="0" w:color="auto"/>
                      </w:divBdr>
                      <w:divsChild>
                        <w:div w:id="1609004052">
                          <w:marLeft w:val="0"/>
                          <w:marRight w:val="0"/>
                          <w:marTop w:val="0"/>
                          <w:marBottom w:val="0"/>
                          <w:divBdr>
                            <w:top w:val="none" w:sz="0" w:space="0" w:color="auto"/>
                            <w:left w:val="none" w:sz="0" w:space="0" w:color="auto"/>
                            <w:bottom w:val="none" w:sz="0" w:space="0" w:color="auto"/>
                            <w:right w:val="none" w:sz="0" w:space="0" w:color="auto"/>
                          </w:divBdr>
                          <w:divsChild>
                            <w:div w:id="7453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2585">
                      <w:marLeft w:val="0"/>
                      <w:marRight w:val="0"/>
                      <w:marTop w:val="0"/>
                      <w:marBottom w:val="0"/>
                      <w:divBdr>
                        <w:top w:val="none" w:sz="0" w:space="0" w:color="auto"/>
                        <w:left w:val="none" w:sz="0" w:space="0" w:color="auto"/>
                        <w:bottom w:val="none" w:sz="0" w:space="0" w:color="auto"/>
                        <w:right w:val="none" w:sz="0" w:space="0" w:color="auto"/>
                      </w:divBdr>
                      <w:divsChild>
                        <w:div w:id="1602104465">
                          <w:marLeft w:val="75"/>
                          <w:marRight w:val="75"/>
                          <w:marTop w:val="75"/>
                          <w:marBottom w:val="75"/>
                          <w:divBdr>
                            <w:top w:val="none" w:sz="0" w:space="0" w:color="auto"/>
                            <w:left w:val="none" w:sz="0" w:space="0" w:color="auto"/>
                            <w:bottom w:val="none" w:sz="0" w:space="0" w:color="auto"/>
                            <w:right w:val="none" w:sz="0" w:space="0" w:color="auto"/>
                          </w:divBdr>
                          <w:divsChild>
                            <w:div w:id="212638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744048">
                  <w:marLeft w:val="0"/>
                  <w:marRight w:val="0"/>
                  <w:marTop w:val="0"/>
                  <w:marBottom w:val="0"/>
                  <w:divBdr>
                    <w:top w:val="none" w:sz="0" w:space="0" w:color="auto"/>
                    <w:left w:val="none" w:sz="0" w:space="0" w:color="auto"/>
                    <w:bottom w:val="none" w:sz="0" w:space="0" w:color="auto"/>
                    <w:right w:val="none" w:sz="0" w:space="0" w:color="auto"/>
                  </w:divBdr>
                  <w:divsChild>
                    <w:div w:id="514657603">
                      <w:marLeft w:val="0"/>
                      <w:marRight w:val="0"/>
                      <w:marTop w:val="0"/>
                      <w:marBottom w:val="0"/>
                      <w:divBdr>
                        <w:top w:val="none" w:sz="0" w:space="0" w:color="auto"/>
                        <w:left w:val="none" w:sz="0" w:space="0" w:color="auto"/>
                        <w:bottom w:val="none" w:sz="0" w:space="0" w:color="auto"/>
                        <w:right w:val="none" w:sz="0" w:space="0" w:color="auto"/>
                      </w:divBdr>
                      <w:divsChild>
                        <w:div w:id="570309096">
                          <w:marLeft w:val="0"/>
                          <w:marRight w:val="0"/>
                          <w:marTop w:val="0"/>
                          <w:marBottom w:val="0"/>
                          <w:divBdr>
                            <w:top w:val="none" w:sz="0" w:space="0" w:color="auto"/>
                            <w:left w:val="none" w:sz="0" w:space="0" w:color="auto"/>
                            <w:bottom w:val="none" w:sz="0" w:space="0" w:color="auto"/>
                            <w:right w:val="none" w:sz="0" w:space="0" w:color="auto"/>
                          </w:divBdr>
                          <w:divsChild>
                            <w:div w:id="196904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1858">
                      <w:marLeft w:val="0"/>
                      <w:marRight w:val="0"/>
                      <w:marTop w:val="0"/>
                      <w:marBottom w:val="0"/>
                      <w:divBdr>
                        <w:top w:val="none" w:sz="0" w:space="0" w:color="auto"/>
                        <w:left w:val="none" w:sz="0" w:space="0" w:color="auto"/>
                        <w:bottom w:val="none" w:sz="0" w:space="0" w:color="auto"/>
                        <w:right w:val="none" w:sz="0" w:space="0" w:color="auto"/>
                      </w:divBdr>
                      <w:divsChild>
                        <w:div w:id="1205873906">
                          <w:marLeft w:val="75"/>
                          <w:marRight w:val="75"/>
                          <w:marTop w:val="75"/>
                          <w:marBottom w:val="75"/>
                          <w:divBdr>
                            <w:top w:val="none" w:sz="0" w:space="0" w:color="auto"/>
                            <w:left w:val="none" w:sz="0" w:space="0" w:color="auto"/>
                            <w:bottom w:val="none" w:sz="0" w:space="0" w:color="auto"/>
                            <w:right w:val="none" w:sz="0" w:space="0" w:color="auto"/>
                          </w:divBdr>
                          <w:divsChild>
                            <w:div w:id="1901479816">
                              <w:marLeft w:val="0"/>
                              <w:marRight w:val="0"/>
                              <w:marTop w:val="0"/>
                              <w:marBottom w:val="0"/>
                              <w:divBdr>
                                <w:top w:val="none" w:sz="0" w:space="0" w:color="auto"/>
                                <w:left w:val="none" w:sz="0" w:space="0" w:color="auto"/>
                                <w:bottom w:val="none" w:sz="0" w:space="0" w:color="auto"/>
                                <w:right w:val="none" w:sz="0" w:space="0" w:color="auto"/>
                              </w:divBdr>
                            </w:div>
                          </w:divsChild>
                        </w:div>
                        <w:div w:id="1240942489">
                          <w:marLeft w:val="75"/>
                          <w:marRight w:val="75"/>
                          <w:marTop w:val="75"/>
                          <w:marBottom w:val="75"/>
                          <w:divBdr>
                            <w:top w:val="none" w:sz="0" w:space="0" w:color="auto"/>
                            <w:left w:val="none" w:sz="0" w:space="0" w:color="auto"/>
                            <w:bottom w:val="none" w:sz="0" w:space="0" w:color="auto"/>
                            <w:right w:val="none" w:sz="0" w:space="0" w:color="auto"/>
                          </w:divBdr>
                          <w:divsChild>
                            <w:div w:id="1541236835">
                              <w:marLeft w:val="0"/>
                              <w:marRight w:val="0"/>
                              <w:marTop w:val="0"/>
                              <w:marBottom w:val="0"/>
                              <w:divBdr>
                                <w:top w:val="none" w:sz="0" w:space="0" w:color="auto"/>
                                <w:left w:val="none" w:sz="0" w:space="0" w:color="auto"/>
                                <w:bottom w:val="none" w:sz="0" w:space="0" w:color="auto"/>
                                <w:right w:val="none" w:sz="0" w:space="0" w:color="auto"/>
                              </w:divBdr>
                            </w:div>
                          </w:divsChild>
                        </w:div>
                        <w:div w:id="726994767">
                          <w:marLeft w:val="720"/>
                          <w:marRight w:val="720"/>
                          <w:marTop w:val="0"/>
                          <w:marBottom w:val="0"/>
                          <w:divBdr>
                            <w:top w:val="none" w:sz="0" w:space="0" w:color="auto"/>
                            <w:left w:val="none" w:sz="0" w:space="0" w:color="auto"/>
                            <w:bottom w:val="none" w:sz="0" w:space="0" w:color="auto"/>
                            <w:right w:val="none" w:sz="0" w:space="0" w:color="auto"/>
                          </w:divBdr>
                          <w:divsChild>
                            <w:div w:id="1343774819">
                              <w:marLeft w:val="225"/>
                              <w:marRight w:val="45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656885507">
          <w:marLeft w:val="0"/>
          <w:marRight w:val="0"/>
          <w:marTop w:val="225"/>
          <w:marBottom w:val="0"/>
          <w:divBdr>
            <w:top w:val="none" w:sz="0" w:space="0" w:color="auto"/>
            <w:left w:val="none" w:sz="0" w:space="0" w:color="auto"/>
            <w:bottom w:val="none" w:sz="0" w:space="0" w:color="auto"/>
            <w:right w:val="none" w:sz="0" w:space="0" w:color="auto"/>
          </w:divBdr>
        </w:div>
        <w:div w:id="20524872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61023/help/topic/de.ids.acos.et.help.eng/html/ch08.html" TargetMode="External"/><Relationship Id="rId18" Type="http://schemas.openxmlformats.org/officeDocument/2006/relationships/hyperlink" Target="http://127.0.0.1:61023/help/topic/de.ids.acos.et.help.eng/html/ch08.html"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127.0.0.1:61023/help/topic/de.ids.acos.et.help.eng/html/index.html" TargetMode="External"/><Relationship Id="rId34" Type="http://schemas.openxmlformats.org/officeDocument/2006/relationships/hyperlink" Target="http://127.0.0.1:61023/help/topic/de.ids.acos.et.help.eng/html/index.html" TargetMode="External"/><Relationship Id="rId7" Type="http://schemas.openxmlformats.org/officeDocument/2006/relationships/hyperlink" Target="http://127.0.0.1:61023/help/topic/de.ids.acos.et.help.eng/html/ch08.html" TargetMode="External"/><Relationship Id="rId12" Type="http://schemas.openxmlformats.org/officeDocument/2006/relationships/hyperlink" Target="http://127.0.0.1:61023/help/topic/de.ids.acos.et.help.eng/html/index.html" TargetMode="External"/><Relationship Id="rId17" Type="http://schemas.openxmlformats.org/officeDocument/2006/relationships/hyperlink" Target="http://127.0.0.1:61023/help/topic/de.ids.acos.et.help.eng/html/ch08.html" TargetMode="External"/><Relationship Id="rId25" Type="http://schemas.openxmlformats.org/officeDocument/2006/relationships/image" Target="media/image7.png"/><Relationship Id="rId33" Type="http://schemas.openxmlformats.org/officeDocument/2006/relationships/hyperlink" Target="http://127.0.0.1:61023/help/topic/de.ids.acos.et.help.eng/html/ch08s06.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127.0.0.1:61023/help/topic/de.ids.acos.et.help.eng/html/index.html" TargetMode="External"/><Relationship Id="rId29" Type="http://schemas.openxmlformats.org/officeDocument/2006/relationships/hyperlink" Target="http://127.0.0.1:61023/help/topic/de.ids.acos.et.help.eng/html/ch08s03.html" TargetMode="External"/><Relationship Id="rId1" Type="http://schemas.openxmlformats.org/officeDocument/2006/relationships/numbering" Target="numbering.xml"/><Relationship Id="rId6" Type="http://schemas.openxmlformats.org/officeDocument/2006/relationships/hyperlink" Target="http://127.0.0.1:61023/help/topic/de.ids.acos.et.help.eng/html/index.html" TargetMode="External"/><Relationship Id="rId11" Type="http://schemas.openxmlformats.org/officeDocument/2006/relationships/hyperlink" Target="http://127.0.0.1:61023/help/topic/de.ids.acos.et.help.eng/html/index.html" TargetMode="External"/><Relationship Id="rId24" Type="http://schemas.openxmlformats.org/officeDocument/2006/relationships/image" Target="media/image6.png"/><Relationship Id="rId32" Type="http://schemas.openxmlformats.org/officeDocument/2006/relationships/hyperlink" Target="http://127.0.0.1:61023/help/topic/de.ids.acos.et.help.eng/html/ch08.html"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127.0.0.1:61023/help/topic/de.ids.acos.et.help.eng/html/ch08s03.html" TargetMode="Externa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http://127.0.0.1:61023/help/topic/de.ids.acos.et.help.eng/html/ch08s02.html" TargetMode="External"/><Relationship Id="rId19" Type="http://schemas.openxmlformats.org/officeDocument/2006/relationships/hyperlink" Target="http://127.0.0.1:61023/help/topic/de.ids.acos.et.help.eng/html/ch08s03.html" TargetMode="External"/><Relationship Id="rId31" Type="http://schemas.openxmlformats.org/officeDocument/2006/relationships/hyperlink" Target="http://127.0.0.1:61023/help/topic/de.ids.acos.et.help.eng/html/ch08s04.html" TargetMode="External"/><Relationship Id="rId4" Type="http://schemas.openxmlformats.org/officeDocument/2006/relationships/webSettings" Target="webSettings.xml"/><Relationship Id="rId9" Type="http://schemas.openxmlformats.org/officeDocument/2006/relationships/hyperlink" Target="http://127.0.0.1:61023/help/topic/de.ids.acos.et.help.eng/html/ch07s14.html" TargetMode="External"/><Relationship Id="rId14" Type="http://schemas.openxmlformats.org/officeDocument/2006/relationships/image" Target="media/image3.png"/><Relationship Id="rId22" Type="http://schemas.openxmlformats.org/officeDocument/2006/relationships/hyperlink" Target="http://127.0.0.1:61023/help/topic/de.ids.acos.et.help.eng/html/ch08.html" TargetMode="External"/><Relationship Id="rId27" Type="http://schemas.openxmlformats.org/officeDocument/2006/relationships/hyperlink" Target="http://127.0.0.1:61023/help/topic/de.ids.acos.et.help.eng/html/ch08s03.html" TargetMode="External"/><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1777</Words>
  <Characters>11199</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Mandl</dc:creator>
  <cp:keywords/>
  <dc:description/>
  <cp:lastModifiedBy>Philipp Mandl</cp:lastModifiedBy>
  <cp:revision>3</cp:revision>
  <dcterms:created xsi:type="dcterms:W3CDTF">2019-07-08T18:56:00Z</dcterms:created>
  <dcterms:modified xsi:type="dcterms:W3CDTF">2019-07-08T19:59:00Z</dcterms:modified>
</cp:coreProperties>
</file>