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78F1" w14:textId="79E232BD" w:rsidR="00C66F76" w:rsidRPr="00C66F76" w:rsidRDefault="00C66F76" w:rsidP="00C66F7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66F76">
        <w:rPr>
          <w:rFonts w:ascii="Times New Roman" w:hAnsi="Times New Roman" w:cs="Times New Roman"/>
          <w:b/>
          <w:bCs/>
          <w:sz w:val="30"/>
          <w:szCs w:val="30"/>
        </w:rPr>
        <w:t>METHODOLOGY DOCUMENT</w:t>
      </w:r>
    </w:p>
    <w:p w14:paraId="2A2566B5" w14:textId="77777777" w:rsidR="00C66F76" w:rsidRPr="00C66F76" w:rsidRDefault="00C66F76" w:rsidP="00C66F76">
      <w:pPr>
        <w:jc w:val="center"/>
        <w:rPr>
          <w:rFonts w:ascii="Times New Roman" w:hAnsi="Times New Roman" w:cs="Times New Roman"/>
        </w:rPr>
      </w:pPr>
      <w:proofErr w:type="spellStart"/>
      <w:r w:rsidRPr="00C66F76">
        <w:rPr>
          <w:rFonts w:ascii="Times New Roman" w:hAnsi="Times New Roman" w:cs="Times New Roman"/>
          <w:b/>
          <w:bCs/>
        </w:rPr>
        <w:t>DeepThought</w:t>
      </w:r>
      <w:proofErr w:type="spellEnd"/>
      <w:r w:rsidRPr="00C66F76">
        <w:rPr>
          <w:rFonts w:ascii="Times New Roman" w:hAnsi="Times New Roman" w:cs="Times New Roman"/>
          <w:b/>
          <w:bCs/>
        </w:rPr>
        <w:t xml:space="preserve"> – Target Company Research (Federer ICP Analysis)</w:t>
      </w:r>
    </w:p>
    <w:p w14:paraId="77E1E739" w14:textId="6AABE17F" w:rsidR="00C66F76" w:rsidRPr="00C66F76" w:rsidRDefault="00C66F76" w:rsidP="00C66F76">
      <w:pPr>
        <w:jc w:val="center"/>
        <w:rPr>
          <w:rFonts w:ascii="Times New Roman" w:hAnsi="Times New Roman" w:cs="Times New Roman"/>
        </w:rPr>
      </w:pPr>
    </w:p>
    <w:p w14:paraId="30705BC3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6F76">
        <w:rPr>
          <w:rFonts w:ascii="Times New Roman" w:hAnsi="Times New Roman" w:cs="Times New Roman"/>
          <w:b/>
          <w:bCs/>
          <w:sz w:val="26"/>
          <w:szCs w:val="26"/>
        </w:rPr>
        <w:t>1. Objective</w:t>
      </w:r>
    </w:p>
    <w:p w14:paraId="617D0A99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 xml:space="preserve">The objective of this assignment was to identify 25 India-based manufacturing companies that fit </w:t>
      </w:r>
      <w:proofErr w:type="spellStart"/>
      <w:r w:rsidRPr="00C66F76">
        <w:rPr>
          <w:rFonts w:ascii="Times New Roman" w:hAnsi="Times New Roman" w:cs="Times New Roman"/>
        </w:rPr>
        <w:t>DeepThought’s</w:t>
      </w:r>
      <w:proofErr w:type="spellEnd"/>
      <w:r w:rsidRPr="00C66F76">
        <w:rPr>
          <w:rFonts w:ascii="Times New Roman" w:hAnsi="Times New Roman" w:cs="Times New Roman"/>
        </w:rPr>
        <w:t xml:space="preserve"> target customer profile (“Federer companies”).</w:t>
      </w:r>
    </w:p>
    <w:p w14:paraId="150C89B8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These are companies that:</w:t>
      </w:r>
    </w:p>
    <w:p w14:paraId="1D0C0E2B" w14:textId="77777777" w:rsidR="00C66F76" w:rsidRPr="00C66F76" w:rsidRDefault="00C66F76" w:rsidP="00C66F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Manufacture physical products in-house</w:t>
      </w:r>
    </w:p>
    <w:p w14:paraId="7288558B" w14:textId="77777777" w:rsidR="00C66F76" w:rsidRPr="00C66F76" w:rsidRDefault="00C66F76" w:rsidP="00C66F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Operate in specialty, high-technical industries</w:t>
      </w:r>
    </w:p>
    <w:p w14:paraId="7346B219" w14:textId="77777777" w:rsidR="00C66F76" w:rsidRPr="00C66F76" w:rsidRDefault="00C66F76" w:rsidP="00C66F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Are led by technically capable founders or management teams</w:t>
      </w:r>
    </w:p>
    <w:p w14:paraId="7A2B6BFB" w14:textId="77777777" w:rsidR="00C66F76" w:rsidRPr="00C66F76" w:rsidRDefault="00C66F76" w:rsidP="00C66F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Show clear signs of business expansion or active growth</w:t>
      </w:r>
    </w:p>
    <w:p w14:paraId="6EDA629C" w14:textId="77777777" w:rsidR="00C66F76" w:rsidRPr="00C66F76" w:rsidRDefault="00C66F76" w:rsidP="00C66F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Belong to sectors with strong long-term demand (pharma, biotech, CRDMO, defence, specialty chemicals)</w:t>
      </w:r>
    </w:p>
    <w:p w14:paraId="4B05E033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The final output is a curated list of companies, primarily concentrated in Hyderabad and surrounding industrial clusters.</w:t>
      </w:r>
    </w:p>
    <w:p w14:paraId="3B76E32A" w14:textId="27DD2A48" w:rsidR="00C66F76" w:rsidRPr="00C66F76" w:rsidRDefault="00C66F76" w:rsidP="00C66F76">
      <w:pPr>
        <w:rPr>
          <w:rFonts w:ascii="Times New Roman" w:hAnsi="Times New Roman" w:cs="Times New Roman"/>
        </w:rPr>
      </w:pPr>
    </w:p>
    <w:p w14:paraId="5AF5858B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6F76">
        <w:rPr>
          <w:rFonts w:ascii="Times New Roman" w:hAnsi="Times New Roman" w:cs="Times New Roman"/>
          <w:b/>
          <w:bCs/>
          <w:sz w:val="26"/>
          <w:szCs w:val="26"/>
        </w:rPr>
        <w:t>2. Evaluation Framework</w:t>
      </w:r>
    </w:p>
    <w:p w14:paraId="181103AF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Each company was assessed using six criteria:</w:t>
      </w:r>
    </w:p>
    <w:p w14:paraId="5FC71069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  <w:b/>
          <w:bCs/>
        </w:rPr>
        <w:t>C1 – Manufacturer:</w:t>
      </w:r>
      <w:r w:rsidRPr="00C66F76">
        <w:rPr>
          <w:rFonts w:ascii="Times New Roman" w:hAnsi="Times New Roman" w:cs="Times New Roman"/>
        </w:rPr>
        <w:t xml:space="preserve"> Whether the company has real production capability (plant/facility-based operations).</w:t>
      </w:r>
      <w:r w:rsidRPr="00C66F76">
        <w:rPr>
          <w:rFonts w:ascii="Times New Roman" w:hAnsi="Times New Roman" w:cs="Times New Roman"/>
        </w:rPr>
        <w:br/>
      </w:r>
      <w:r w:rsidRPr="00C66F76">
        <w:rPr>
          <w:rFonts w:ascii="Times New Roman" w:hAnsi="Times New Roman" w:cs="Times New Roman"/>
          <w:b/>
          <w:bCs/>
        </w:rPr>
        <w:t>C2 – India-based:</w:t>
      </w:r>
      <w:r w:rsidRPr="00C66F76">
        <w:rPr>
          <w:rFonts w:ascii="Times New Roman" w:hAnsi="Times New Roman" w:cs="Times New Roman"/>
        </w:rPr>
        <w:t xml:space="preserve"> Whether operations and manufacturing are based in India.</w:t>
      </w:r>
      <w:r w:rsidRPr="00C66F76">
        <w:rPr>
          <w:rFonts w:ascii="Times New Roman" w:hAnsi="Times New Roman" w:cs="Times New Roman"/>
        </w:rPr>
        <w:br/>
      </w:r>
      <w:r w:rsidRPr="00C66F76">
        <w:rPr>
          <w:rFonts w:ascii="Times New Roman" w:hAnsi="Times New Roman" w:cs="Times New Roman"/>
          <w:b/>
          <w:bCs/>
        </w:rPr>
        <w:t>C3 – Differentiation:</w:t>
      </w:r>
      <w:r w:rsidRPr="00C66F76">
        <w:rPr>
          <w:rFonts w:ascii="Times New Roman" w:hAnsi="Times New Roman" w:cs="Times New Roman"/>
        </w:rPr>
        <w:t xml:space="preserve"> Presence of technical complexity, IP, regulatory approvals, or niche products.</w:t>
      </w:r>
      <w:r w:rsidRPr="00C66F76">
        <w:rPr>
          <w:rFonts w:ascii="Times New Roman" w:hAnsi="Times New Roman" w:cs="Times New Roman"/>
        </w:rPr>
        <w:br/>
      </w:r>
      <w:r w:rsidRPr="00C66F76">
        <w:rPr>
          <w:rFonts w:ascii="Times New Roman" w:hAnsi="Times New Roman" w:cs="Times New Roman"/>
          <w:b/>
          <w:bCs/>
        </w:rPr>
        <w:t>C4 – Technical Decision Maker:</w:t>
      </w:r>
      <w:r w:rsidRPr="00C66F76">
        <w:rPr>
          <w:rFonts w:ascii="Times New Roman" w:hAnsi="Times New Roman" w:cs="Times New Roman"/>
        </w:rPr>
        <w:t xml:space="preserve"> Whether leadership has a scientific or engineering background.</w:t>
      </w:r>
      <w:r w:rsidRPr="00C66F76">
        <w:rPr>
          <w:rFonts w:ascii="Times New Roman" w:hAnsi="Times New Roman" w:cs="Times New Roman"/>
        </w:rPr>
        <w:br/>
      </w:r>
      <w:r w:rsidRPr="00C66F76">
        <w:rPr>
          <w:rFonts w:ascii="Times New Roman" w:hAnsi="Times New Roman" w:cs="Times New Roman"/>
          <w:b/>
          <w:bCs/>
        </w:rPr>
        <w:t>C5 – Sector Growth:</w:t>
      </w:r>
      <w:r w:rsidRPr="00C66F76">
        <w:rPr>
          <w:rFonts w:ascii="Times New Roman" w:hAnsi="Times New Roman" w:cs="Times New Roman"/>
        </w:rPr>
        <w:t xml:space="preserve"> Whether the industry has strong external demand or policy tailwinds.</w:t>
      </w:r>
      <w:r w:rsidRPr="00C66F76">
        <w:rPr>
          <w:rFonts w:ascii="Times New Roman" w:hAnsi="Times New Roman" w:cs="Times New Roman"/>
        </w:rPr>
        <w:br/>
      </w:r>
      <w:r w:rsidRPr="00C66F76">
        <w:rPr>
          <w:rFonts w:ascii="Times New Roman" w:hAnsi="Times New Roman" w:cs="Times New Roman"/>
          <w:b/>
          <w:bCs/>
        </w:rPr>
        <w:t>C6 – Growth Signals:</w:t>
      </w:r>
      <w:r w:rsidRPr="00C66F76">
        <w:rPr>
          <w:rFonts w:ascii="Times New Roman" w:hAnsi="Times New Roman" w:cs="Times New Roman"/>
        </w:rPr>
        <w:t xml:space="preserve"> Recent indicators such as hiring, expansion, certifications, or financial growth.</w:t>
      </w:r>
    </w:p>
    <w:p w14:paraId="72CD830E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Each parameter was rated as Weak, Moderate, or Strong and converted into a composite score out of 100.</w:t>
      </w:r>
    </w:p>
    <w:p w14:paraId="5129940A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Final classification:</w:t>
      </w:r>
    </w:p>
    <w:p w14:paraId="43212976" w14:textId="77777777" w:rsidR="00C66F76" w:rsidRPr="00C66F76" w:rsidRDefault="00C66F76" w:rsidP="00C66F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A-tier: 80–100</w:t>
      </w:r>
    </w:p>
    <w:p w14:paraId="6A4067EF" w14:textId="77777777" w:rsidR="00C66F76" w:rsidRPr="00C66F76" w:rsidRDefault="00C66F76" w:rsidP="00C66F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B-tier: 60–79</w:t>
      </w:r>
    </w:p>
    <w:p w14:paraId="43E03462" w14:textId="77777777" w:rsidR="00C66F76" w:rsidRPr="00C66F76" w:rsidRDefault="00C66F76" w:rsidP="00C66F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C-tier: 40–59</w:t>
      </w:r>
    </w:p>
    <w:p w14:paraId="0B467769" w14:textId="77777777" w:rsidR="00C66F76" w:rsidRPr="00C66F76" w:rsidRDefault="00C66F76" w:rsidP="00C66F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D-tier: below 40 (excluded)</w:t>
      </w:r>
    </w:p>
    <w:p w14:paraId="295FA886" w14:textId="2A26A6E3" w:rsidR="00C66F76" w:rsidRDefault="00C66F76" w:rsidP="00C66F76">
      <w:pPr>
        <w:rPr>
          <w:rFonts w:ascii="Times New Roman" w:hAnsi="Times New Roman" w:cs="Times New Roman"/>
        </w:rPr>
      </w:pPr>
    </w:p>
    <w:p w14:paraId="1C0702CA" w14:textId="77777777" w:rsidR="00C66F76" w:rsidRDefault="00C66F76" w:rsidP="00C66F76">
      <w:pPr>
        <w:rPr>
          <w:rFonts w:ascii="Times New Roman" w:hAnsi="Times New Roman" w:cs="Times New Roman"/>
        </w:rPr>
      </w:pPr>
    </w:p>
    <w:p w14:paraId="0ABC03BF" w14:textId="77777777" w:rsidR="00C66F76" w:rsidRPr="00C66F76" w:rsidRDefault="00C66F76" w:rsidP="00C66F76">
      <w:pPr>
        <w:rPr>
          <w:rFonts w:ascii="Times New Roman" w:hAnsi="Times New Roman" w:cs="Times New Roman"/>
        </w:rPr>
      </w:pPr>
    </w:p>
    <w:p w14:paraId="55D0EB0E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6F76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Research Approach</w:t>
      </w:r>
    </w:p>
    <w:p w14:paraId="4AD651C6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</w:rPr>
      </w:pPr>
      <w:r w:rsidRPr="00C66F76">
        <w:rPr>
          <w:rFonts w:ascii="Times New Roman" w:hAnsi="Times New Roman" w:cs="Times New Roman"/>
          <w:b/>
          <w:bCs/>
        </w:rPr>
        <w:t>3.1 Company discovery</w:t>
      </w:r>
    </w:p>
    <w:p w14:paraId="1B0C0308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The search began with established industrial clusters in Hyderabad, especially:</w:t>
      </w:r>
    </w:p>
    <w:p w14:paraId="36DD052D" w14:textId="77777777" w:rsidR="00C66F76" w:rsidRPr="00C66F76" w:rsidRDefault="00C66F76" w:rsidP="00C66F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Genome Valley (biotech and pharma)</w:t>
      </w:r>
    </w:p>
    <w:p w14:paraId="581C5CD3" w14:textId="77777777" w:rsidR="00C66F76" w:rsidRPr="00C66F76" w:rsidRDefault="00C66F76" w:rsidP="00C66F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Jeedimetla industrial area</w:t>
      </w:r>
    </w:p>
    <w:p w14:paraId="5321DD72" w14:textId="77777777" w:rsidR="00C66F76" w:rsidRPr="00C66F76" w:rsidRDefault="00C66F76" w:rsidP="00C66F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Banjara Hills pharma HQ ecosystem</w:t>
      </w:r>
    </w:p>
    <w:p w14:paraId="5539539A" w14:textId="77777777" w:rsidR="00C66F76" w:rsidRPr="00C66F76" w:rsidRDefault="00C66F76" w:rsidP="00C66F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Defence electronics and aerospace suppliers in Telangana</w:t>
      </w:r>
    </w:p>
    <w:p w14:paraId="13491816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From there, companies were expanded into adjacent sectors such as CRDMO, biologics, specialty chemicals, and defence electronics.</w:t>
      </w:r>
    </w:p>
    <w:p w14:paraId="762DAF00" w14:textId="18AFC509" w:rsidR="00C66F76" w:rsidRPr="00C66F76" w:rsidRDefault="00C66F76" w:rsidP="00C66F76">
      <w:pPr>
        <w:rPr>
          <w:rFonts w:ascii="Times New Roman" w:hAnsi="Times New Roman" w:cs="Times New Roman"/>
        </w:rPr>
      </w:pPr>
    </w:p>
    <w:p w14:paraId="519F76E1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</w:rPr>
      </w:pPr>
      <w:r w:rsidRPr="00C66F76">
        <w:rPr>
          <w:rFonts w:ascii="Times New Roman" w:hAnsi="Times New Roman" w:cs="Times New Roman"/>
          <w:b/>
          <w:bCs/>
        </w:rPr>
        <w:t>3.2 Data sources</w:t>
      </w:r>
    </w:p>
    <w:p w14:paraId="6DA07485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Each company was verified using multiple public sources:</w:t>
      </w:r>
    </w:p>
    <w:p w14:paraId="3FA309E7" w14:textId="77777777" w:rsidR="00C66F76" w:rsidRPr="00C66F76" w:rsidRDefault="00C66F76" w:rsidP="00C66F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Official company websites (products, facilities, certifications)</w:t>
      </w:r>
    </w:p>
    <w:p w14:paraId="6CBFB8DC" w14:textId="77777777" w:rsidR="00C66F76" w:rsidRPr="00C66F76" w:rsidRDefault="00C66F76" w:rsidP="00C66F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Annual reports and stock exchange filings</w:t>
      </w:r>
    </w:p>
    <w:p w14:paraId="1223B6E0" w14:textId="77777777" w:rsidR="00C66F76" w:rsidRPr="00C66F76" w:rsidRDefault="00C66F76" w:rsidP="00C66F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MCA (Ministry of Corporate Affairs) records</w:t>
      </w:r>
    </w:p>
    <w:p w14:paraId="7F2B7907" w14:textId="77777777" w:rsidR="00C66F76" w:rsidRPr="00C66F76" w:rsidRDefault="00C66F76" w:rsidP="00C66F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Regulatory approvals (USFDA, WHO-GMP, EU-GMP, PIC/s, DSIR)</w:t>
      </w:r>
    </w:p>
    <w:p w14:paraId="41CEF096" w14:textId="77777777" w:rsidR="00C66F76" w:rsidRPr="00C66F76" w:rsidRDefault="00C66F76" w:rsidP="00C66F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Industry news articles (expansions, capacity additions, exports)</w:t>
      </w:r>
    </w:p>
    <w:p w14:paraId="3AF08BD3" w14:textId="77777777" w:rsidR="00C66F76" w:rsidRPr="00C66F76" w:rsidRDefault="00C66F76" w:rsidP="00C66F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LinkedIn (leadership background and hiring signals)</w:t>
      </w:r>
    </w:p>
    <w:p w14:paraId="3930F59E" w14:textId="35DDCA89" w:rsidR="00C66F76" w:rsidRPr="00C66F76" w:rsidRDefault="00C66F76" w:rsidP="00C66F76">
      <w:pPr>
        <w:rPr>
          <w:rFonts w:ascii="Times New Roman" w:hAnsi="Times New Roman" w:cs="Times New Roman"/>
        </w:rPr>
      </w:pPr>
    </w:p>
    <w:p w14:paraId="264B91AE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6F76">
        <w:rPr>
          <w:rFonts w:ascii="Times New Roman" w:hAnsi="Times New Roman" w:cs="Times New Roman"/>
          <w:b/>
          <w:bCs/>
          <w:sz w:val="26"/>
          <w:szCs w:val="26"/>
        </w:rPr>
        <w:t>4. Filtering Process</w:t>
      </w:r>
    </w:p>
    <w:p w14:paraId="3C208D8A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</w:rPr>
      </w:pPr>
      <w:r w:rsidRPr="00C66F76">
        <w:rPr>
          <w:rFonts w:ascii="Times New Roman" w:hAnsi="Times New Roman" w:cs="Times New Roman"/>
          <w:b/>
          <w:bCs/>
        </w:rPr>
        <w:t>Step 1: Initial pool</w:t>
      </w:r>
    </w:p>
    <w:p w14:paraId="47E2ABFE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Around 80–100 companies were identified across pharma, biotech, chemicals, and defence sectors.</w:t>
      </w:r>
    </w:p>
    <w:p w14:paraId="5DED0657" w14:textId="612A7BD7" w:rsidR="00C66F76" w:rsidRPr="00C66F76" w:rsidRDefault="00C66F76" w:rsidP="00C66F76">
      <w:pPr>
        <w:rPr>
          <w:rFonts w:ascii="Times New Roman" w:hAnsi="Times New Roman" w:cs="Times New Roman"/>
        </w:rPr>
      </w:pPr>
    </w:p>
    <w:p w14:paraId="691913FD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</w:rPr>
      </w:pPr>
      <w:r w:rsidRPr="00C66F76">
        <w:rPr>
          <w:rFonts w:ascii="Times New Roman" w:hAnsi="Times New Roman" w:cs="Times New Roman"/>
          <w:b/>
          <w:bCs/>
        </w:rPr>
        <w:t>Step 2: Exclusions</w:t>
      </w:r>
    </w:p>
    <w:p w14:paraId="0220CFB1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Companies were removed if they fell into any of the following:</w:t>
      </w:r>
    </w:p>
    <w:p w14:paraId="3FCC79AA" w14:textId="77777777" w:rsidR="00C66F76" w:rsidRPr="00C66F76" w:rsidRDefault="00C66F76" w:rsidP="00C66F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Trading or distribution-only businesses</w:t>
      </w:r>
    </w:p>
    <w:p w14:paraId="226449BA" w14:textId="77777777" w:rsidR="00C66F76" w:rsidRPr="00C66F76" w:rsidRDefault="00C66F76" w:rsidP="00C66F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CROs, testing labs, or service-based organizations</w:t>
      </w:r>
    </w:p>
    <w:p w14:paraId="7C6D1C50" w14:textId="77777777" w:rsidR="00C66F76" w:rsidRPr="00C66F76" w:rsidRDefault="00C66F76" w:rsidP="00C66F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Private equity-owned or recently acquired companies</w:t>
      </w:r>
    </w:p>
    <w:p w14:paraId="00E42EAA" w14:textId="77777777" w:rsidR="00C66F76" w:rsidRPr="00C66F76" w:rsidRDefault="00C66F76" w:rsidP="00C66F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Revenue above ₹500 Cr</w:t>
      </w:r>
    </w:p>
    <w:p w14:paraId="4CDEDE23" w14:textId="77777777" w:rsidR="00C66F76" w:rsidRPr="00C66F76" w:rsidRDefault="00C66F76" w:rsidP="00C66F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No recent activity or outdated operational signals</w:t>
      </w:r>
    </w:p>
    <w:p w14:paraId="250A86B9" w14:textId="62F379C7" w:rsidR="00C66F76" w:rsidRPr="00C66F76" w:rsidRDefault="00C66F76" w:rsidP="00C66F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Purely commodity manufacturers without differentiation</w:t>
      </w:r>
    </w:p>
    <w:p w14:paraId="4F5FA29B" w14:textId="77777777" w:rsidR="00C66F76" w:rsidRPr="00C66F76" w:rsidRDefault="00C66F76" w:rsidP="00C66F76">
      <w:pPr>
        <w:rPr>
          <w:rFonts w:ascii="Times New Roman" w:hAnsi="Times New Roman" w:cs="Times New Roman"/>
        </w:rPr>
      </w:pPr>
    </w:p>
    <w:p w14:paraId="33F50A33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</w:rPr>
      </w:pPr>
      <w:r w:rsidRPr="00C66F76">
        <w:rPr>
          <w:rFonts w:ascii="Times New Roman" w:hAnsi="Times New Roman" w:cs="Times New Roman"/>
          <w:b/>
          <w:bCs/>
        </w:rPr>
        <w:t>Step 3: Evaluation</w:t>
      </w:r>
    </w:p>
    <w:p w14:paraId="5A950ADC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Remaining companies were evaluated using the six-factor model.</w:t>
      </w:r>
    </w:p>
    <w:p w14:paraId="22CE8CF0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The strongest weight was given to:</w:t>
      </w:r>
    </w:p>
    <w:p w14:paraId="6901A60E" w14:textId="77777777" w:rsidR="00C66F76" w:rsidRPr="00C66F76" w:rsidRDefault="00C66F76" w:rsidP="00C66F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Manufacturing capability</w:t>
      </w:r>
    </w:p>
    <w:p w14:paraId="7F4C633D" w14:textId="77777777" w:rsidR="00C66F76" w:rsidRPr="00C66F76" w:rsidRDefault="00C66F76" w:rsidP="00C66F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Product differentiation</w:t>
      </w:r>
    </w:p>
    <w:p w14:paraId="30881A8A" w14:textId="77777777" w:rsidR="00C66F76" w:rsidRPr="00C66F76" w:rsidRDefault="00C66F76" w:rsidP="00C66F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Technical strength of leadership</w:t>
      </w:r>
    </w:p>
    <w:p w14:paraId="706EF1E0" w14:textId="77777777" w:rsidR="00C66F76" w:rsidRPr="00C66F76" w:rsidRDefault="00C66F76" w:rsidP="00C66F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Visible growth signals</w:t>
      </w:r>
    </w:p>
    <w:p w14:paraId="6B422518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Each score was supported with specific evidence from public sources such as certifications, expansions, or product pipelines.</w:t>
      </w:r>
    </w:p>
    <w:p w14:paraId="6395FA56" w14:textId="7155991F" w:rsidR="00C66F76" w:rsidRPr="00C66F76" w:rsidRDefault="00C66F76" w:rsidP="00C66F76">
      <w:pPr>
        <w:rPr>
          <w:rFonts w:ascii="Times New Roman" w:hAnsi="Times New Roman" w:cs="Times New Roman"/>
        </w:rPr>
      </w:pPr>
    </w:p>
    <w:p w14:paraId="0BB18F62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</w:rPr>
      </w:pPr>
      <w:r w:rsidRPr="00C66F76">
        <w:rPr>
          <w:rFonts w:ascii="Times New Roman" w:hAnsi="Times New Roman" w:cs="Times New Roman"/>
          <w:b/>
          <w:bCs/>
        </w:rPr>
        <w:t>Step 4: Final selection</w:t>
      </w:r>
    </w:p>
    <w:p w14:paraId="35D669C9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Companies scoring 80+ were classified as strong Federer fits.</w:t>
      </w:r>
    </w:p>
    <w:p w14:paraId="7DA50CEC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Companies in the 60–79 range were included only if they showed strong qualitative strength in manufacturing or differentiation.</w:t>
      </w:r>
    </w:p>
    <w:p w14:paraId="3FEDAFD2" w14:textId="30B38081" w:rsidR="00C66F76" w:rsidRPr="00C66F76" w:rsidRDefault="00C66F76" w:rsidP="00C66F76">
      <w:pPr>
        <w:rPr>
          <w:rFonts w:ascii="Times New Roman" w:hAnsi="Times New Roman" w:cs="Times New Roman"/>
        </w:rPr>
      </w:pPr>
    </w:p>
    <w:p w14:paraId="1C7EEF52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6F76">
        <w:rPr>
          <w:rFonts w:ascii="Times New Roman" w:hAnsi="Times New Roman" w:cs="Times New Roman"/>
          <w:b/>
          <w:bCs/>
          <w:sz w:val="26"/>
          <w:szCs w:val="26"/>
        </w:rPr>
        <w:t>5. Key Observations</w:t>
      </w:r>
    </w:p>
    <w:p w14:paraId="4CAFE312" w14:textId="77777777" w:rsidR="00C66F76" w:rsidRPr="00C66F76" w:rsidRDefault="00C66F76" w:rsidP="00C66F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Hyderabad dominates as a hub for specialty pharma and biotech manufacturing.</w:t>
      </w:r>
    </w:p>
    <w:p w14:paraId="12A711EB" w14:textId="77777777" w:rsidR="00C66F76" w:rsidRPr="00C66F76" w:rsidRDefault="00C66F76" w:rsidP="00C66F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Most strong companies operate in CRDMO/CDMO, biologics, APIs, or defence electronics.</w:t>
      </w:r>
    </w:p>
    <w:p w14:paraId="2E6718D3" w14:textId="77777777" w:rsidR="00C66F76" w:rsidRPr="00C66F76" w:rsidRDefault="00C66F76" w:rsidP="00C66F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A clear distinction exists between:</w:t>
      </w:r>
    </w:p>
    <w:p w14:paraId="44300FD3" w14:textId="77777777" w:rsidR="00C66F76" w:rsidRPr="00C66F76" w:rsidRDefault="00C66F76" w:rsidP="00C66F7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Manufacturing companies (included)</w:t>
      </w:r>
    </w:p>
    <w:p w14:paraId="02DBDBD6" w14:textId="77777777" w:rsidR="00C66F76" w:rsidRPr="00C66F76" w:rsidRDefault="00C66F76" w:rsidP="00C66F7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Service-based biotech companies like CROs (excluded)</w:t>
      </w:r>
    </w:p>
    <w:p w14:paraId="478D4D79" w14:textId="77777777" w:rsidR="00C66F76" w:rsidRPr="00C66F76" w:rsidRDefault="00C66F76" w:rsidP="00C66F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Regulatory approvals and complex chemistry were the strongest indicators of differentiation.</w:t>
      </w:r>
    </w:p>
    <w:p w14:paraId="12E205A9" w14:textId="77777777" w:rsidR="00C66F76" w:rsidRPr="00C66F76" w:rsidRDefault="00C66F76" w:rsidP="00C66F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Promoter-led companies with technical backgrounds consistently scored higher than professionally managed or PE-controlled firms.</w:t>
      </w:r>
    </w:p>
    <w:p w14:paraId="03FFE1B1" w14:textId="764ADAA9" w:rsidR="00C66F76" w:rsidRPr="00C66F76" w:rsidRDefault="00C66F76" w:rsidP="00C66F76">
      <w:pPr>
        <w:rPr>
          <w:rFonts w:ascii="Times New Roman" w:hAnsi="Times New Roman" w:cs="Times New Roman"/>
        </w:rPr>
      </w:pPr>
    </w:p>
    <w:p w14:paraId="0A81E6BF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6F76">
        <w:rPr>
          <w:rFonts w:ascii="Times New Roman" w:hAnsi="Times New Roman" w:cs="Times New Roman"/>
          <w:b/>
          <w:bCs/>
          <w:sz w:val="26"/>
          <w:szCs w:val="26"/>
        </w:rPr>
        <w:t>6. Tools Used</w:t>
      </w:r>
    </w:p>
    <w:p w14:paraId="347DDDA4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The research was carried out using:</w:t>
      </w:r>
    </w:p>
    <w:p w14:paraId="5BACB584" w14:textId="77777777" w:rsidR="00C66F76" w:rsidRPr="00C66F76" w:rsidRDefault="00C66F76" w:rsidP="00C66F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Company websites and public disclosures</w:t>
      </w:r>
    </w:p>
    <w:p w14:paraId="0BBC7A19" w14:textId="77777777" w:rsidR="00C66F76" w:rsidRPr="00C66F76" w:rsidRDefault="00C66F76" w:rsidP="00C66F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MCA database and annual reports</w:t>
      </w:r>
    </w:p>
    <w:p w14:paraId="58A4CF32" w14:textId="77777777" w:rsidR="00C66F76" w:rsidRPr="00C66F76" w:rsidRDefault="00C66F76" w:rsidP="00C66F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Regulatory certification databases</w:t>
      </w:r>
    </w:p>
    <w:p w14:paraId="45ADA142" w14:textId="77777777" w:rsidR="00C66F76" w:rsidRPr="00C66F76" w:rsidRDefault="00C66F76" w:rsidP="00C66F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LinkedIn for leadership validation</w:t>
      </w:r>
    </w:p>
    <w:p w14:paraId="311030A0" w14:textId="77777777" w:rsidR="00C66F76" w:rsidRPr="00C66F76" w:rsidRDefault="00C66F76" w:rsidP="00C66F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Industry news and expansion announcements</w:t>
      </w:r>
    </w:p>
    <w:p w14:paraId="5526472F" w14:textId="77777777" w:rsidR="00C66F76" w:rsidRPr="00C66F76" w:rsidRDefault="00C66F76" w:rsidP="00C66F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ChatGPT used only as a support tool for structuring and organizing data</w:t>
      </w:r>
    </w:p>
    <w:p w14:paraId="3885C6D8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Final decisions on inclusion and scoring were manually verified.</w:t>
      </w:r>
    </w:p>
    <w:p w14:paraId="20AC4FE4" w14:textId="77777777" w:rsidR="00C66F76" w:rsidRPr="00C66F76" w:rsidRDefault="00C66F76" w:rsidP="00C66F76">
      <w:pPr>
        <w:rPr>
          <w:rFonts w:ascii="Times New Roman" w:hAnsi="Times New Roman" w:cs="Times New Roman"/>
          <w:sz w:val="26"/>
          <w:szCs w:val="26"/>
        </w:rPr>
      </w:pPr>
    </w:p>
    <w:p w14:paraId="0B6C0026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6F76">
        <w:rPr>
          <w:rFonts w:ascii="Times New Roman" w:hAnsi="Times New Roman" w:cs="Times New Roman"/>
          <w:b/>
          <w:bCs/>
          <w:sz w:val="26"/>
          <w:szCs w:val="26"/>
        </w:rPr>
        <w:t>7. Limitations</w:t>
      </w:r>
    </w:p>
    <w:p w14:paraId="494E594B" w14:textId="77777777" w:rsidR="00C66F76" w:rsidRPr="00C66F76" w:rsidRDefault="00C66F76" w:rsidP="00C66F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Financial data for private companies was not always fully available and had to be estimated from secondary sources.</w:t>
      </w:r>
    </w:p>
    <w:p w14:paraId="5DC46185" w14:textId="77777777" w:rsidR="00C66F76" w:rsidRPr="00C66F76" w:rsidRDefault="00C66F76" w:rsidP="00C66F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Growth signals were inferred where direct financial updates were missing.</w:t>
      </w:r>
    </w:p>
    <w:p w14:paraId="51DE0BE6" w14:textId="77777777" w:rsidR="00C66F76" w:rsidRPr="00C66F76" w:rsidRDefault="00C66F76" w:rsidP="00C66F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Leadership background was based only on publicly available information.</w:t>
      </w:r>
    </w:p>
    <w:p w14:paraId="4E7B5590" w14:textId="77777777" w:rsidR="00C66F76" w:rsidRPr="00C66F76" w:rsidRDefault="00C66F76" w:rsidP="00C66F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Some companies operate across multiple segments, requiring judgment-based classification.</w:t>
      </w:r>
    </w:p>
    <w:p w14:paraId="6C8E5B70" w14:textId="1DFA0FA9" w:rsidR="00C66F76" w:rsidRPr="00C66F76" w:rsidRDefault="00C66F76" w:rsidP="00C66F76">
      <w:pPr>
        <w:rPr>
          <w:rFonts w:ascii="Times New Roman" w:hAnsi="Times New Roman" w:cs="Times New Roman"/>
        </w:rPr>
      </w:pPr>
    </w:p>
    <w:p w14:paraId="2C56C7A2" w14:textId="77777777" w:rsidR="00C66F76" w:rsidRPr="00C66F76" w:rsidRDefault="00C66F76" w:rsidP="00C66F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6F76">
        <w:rPr>
          <w:rFonts w:ascii="Times New Roman" w:hAnsi="Times New Roman" w:cs="Times New Roman"/>
          <w:b/>
          <w:bCs/>
          <w:sz w:val="26"/>
          <w:szCs w:val="26"/>
        </w:rPr>
        <w:t>8. Conclusion</w:t>
      </w:r>
    </w:p>
    <w:p w14:paraId="183553B7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 xml:space="preserve">The final list represents a focused set of 25 specialty manufacturing companies aligned with </w:t>
      </w:r>
      <w:proofErr w:type="spellStart"/>
      <w:r w:rsidRPr="00C66F76">
        <w:rPr>
          <w:rFonts w:ascii="Times New Roman" w:hAnsi="Times New Roman" w:cs="Times New Roman"/>
        </w:rPr>
        <w:t>DeepThought’s</w:t>
      </w:r>
      <w:proofErr w:type="spellEnd"/>
      <w:r w:rsidRPr="00C66F76">
        <w:rPr>
          <w:rFonts w:ascii="Times New Roman" w:hAnsi="Times New Roman" w:cs="Times New Roman"/>
        </w:rPr>
        <w:t xml:space="preserve"> Federer ICP.</w:t>
      </w:r>
    </w:p>
    <w:p w14:paraId="50D9605B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These companies were selected based on real manufacturing capability, technical depth, and visible growth activity rather than surface-level classification.</w:t>
      </w:r>
    </w:p>
    <w:p w14:paraId="3E526AD6" w14:textId="77777777" w:rsidR="00C66F76" w:rsidRPr="00C66F76" w:rsidRDefault="00C66F76" w:rsidP="00C66F76">
      <w:pPr>
        <w:rPr>
          <w:rFonts w:ascii="Times New Roman" w:hAnsi="Times New Roman" w:cs="Times New Roman"/>
        </w:rPr>
      </w:pPr>
      <w:r w:rsidRPr="00C66F76">
        <w:rPr>
          <w:rFonts w:ascii="Times New Roman" w:hAnsi="Times New Roman" w:cs="Times New Roman"/>
        </w:rPr>
        <w:t>The methodology prioritizes evidence-based filtering and practical industry signals over broad or generic company listings.</w:t>
      </w:r>
    </w:p>
    <w:p w14:paraId="069572B5" w14:textId="77777777" w:rsidR="00D23234" w:rsidRPr="00C66F76" w:rsidRDefault="00D23234">
      <w:pPr>
        <w:rPr>
          <w:rFonts w:ascii="Times New Roman" w:hAnsi="Times New Roman" w:cs="Times New Roman"/>
        </w:rPr>
      </w:pPr>
    </w:p>
    <w:sectPr w:rsidR="00D23234" w:rsidRPr="00C66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97D"/>
    <w:multiLevelType w:val="multilevel"/>
    <w:tmpl w:val="F602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1304A"/>
    <w:multiLevelType w:val="multilevel"/>
    <w:tmpl w:val="773C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5614F"/>
    <w:multiLevelType w:val="multilevel"/>
    <w:tmpl w:val="A2C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2276C"/>
    <w:multiLevelType w:val="multilevel"/>
    <w:tmpl w:val="074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42B50"/>
    <w:multiLevelType w:val="multilevel"/>
    <w:tmpl w:val="A278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70807"/>
    <w:multiLevelType w:val="multilevel"/>
    <w:tmpl w:val="5CC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85584"/>
    <w:multiLevelType w:val="multilevel"/>
    <w:tmpl w:val="EC5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734E3"/>
    <w:multiLevelType w:val="multilevel"/>
    <w:tmpl w:val="448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04E69"/>
    <w:multiLevelType w:val="multilevel"/>
    <w:tmpl w:val="B0E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D5127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366687">
    <w:abstractNumId w:val="1"/>
  </w:num>
  <w:num w:numId="2" w16cid:durableId="542793709">
    <w:abstractNumId w:val="6"/>
  </w:num>
  <w:num w:numId="3" w16cid:durableId="1046492460">
    <w:abstractNumId w:val="7"/>
  </w:num>
  <w:num w:numId="4" w16cid:durableId="1058358363">
    <w:abstractNumId w:val="3"/>
  </w:num>
  <w:num w:numId="5" w16cid:durableId="1803041581">
    <w:abstractNumId w:val="2"/>
  </w:num>
  <w:num w:numId="6" w16cid:durableId="570581973">
    <w:abstractNumId w:val="8"/>
  </w:num>
  <w:num w:numId="7" w16cid:durableId="1912226577">
    <w:abstractNumId w:val="4"/>
  </w:num>
  <w:num w:numId="8" w16cid:durableId="884948800">
    <w:abstractNumId w:val="0"/>
  </w:num>
  <w:num w:numId="9" w16cid:durableId="1308316069">
    <w:abstractNumId w:val="5"/>
  </w:num>
  <w:num w:numId="10" w16cid:durableId="1374186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76"/>
    <w:rsid w:val="0095749A"/>
    <w:rsid w:val="00A90FE9"/>
    <w:rsid w:val="00AB0B35"/>
    <w:rsid w:val="00C05138"/>
    <w:rsid w:val="00C66F76"/>
    <w:rsid w:val="00C7701B"/>
    <w:rsid w:val="00CB66FF"/>
    <w:rsid w:val="00D2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7A6F"/>
  <w15:chartTrackingRefBased/>
  <w15:docId w15:val="{9FEE6BFB-AFE7-4C84-9002-E0BF032A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Maneepu</dc:creator>
  <cp:keywords/>
  <dc:description/>
  <cp:lastModifiedBy>Sathvika Maneepu</cp:lastModifiedBy>
  <cp:revision>2</cp:revision>
  <cp:lastPrinted>2026-05-11T21:01:00Z</cp:lastPrinted>
  <dcterms:created xsi:type="dcterms:W3CDTF">2026-05-11T21:07:00Z</dcterms:created>
  <dcterms:modified xsi:type="dcterms:W3CDTF">2026-05-11T21:07:00Z</dcterms:modified>
</cp:coreProperties>
</file>