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624FF" w14:textId="77777777" w:rsidR="004672EA" w:rsidRPr="004672EA" w:rsidRDefault="004672EA" w:rsidP="004672EA">
      <w:pPr>
        <w:rPr>
          <w:b/>
          <w:bCs/>
        </w:rPr>
      </w:pPr>
      <w:r w:rsidRPr="004672EA">
        <w:rPr>
          <w:b/>
          <w:bCs/>
        </w:rPr>
        <w:t>1. Introduction</w:t>
      </w:r>
    </w:p>
    <w:p w14:paraId="443638A2" w14:textId="4248A564" w:rsidR="004672EA" w:rsidRPr="004672EA" w:rsidRDefault="004672EA" w:rsidP="004672EA">
      <w:pPr>
        <w:rPr>
          <w:b/>
          <w:bCs/>
        </w:rPr>
      </w:pPr>
      <w:r w:rsidRPr="004672EA">
        <w:rPr>
          <w:b/>
          <w:bCs/>
        </w:rPr>
        <w:t>Background and Domain Context</w:t>
      </w:r>
    </w:p>
    <w:p w14:paraId="6F276B33" w14:textId="77777777" w:rsidR="004672EA" w:rsidRPr="004672EA" w:rsidRDefault="004672EA" w:rsidP="004672EA">
      <w:r w:rsidRPr="004672EA">
        <w:t>Agricultural supply chains, especially those involving local farmers and small vendors, often face problems such as demand uncertainty, overproduction, under-supply, food waste, and weak communication. In many practical contexts, coordination is still performed through phone calls, messaging, or informal arrangements, which can lead to delays, inefficient dispatch planning, and poor visibility of demand and supply status.</w:t>
      </w:r>
    </w:p>
    <w:p w14:paraId="56488740" w14:textId="77777777" w:rsidR="004672EA" w:rsidRPr="004672EA" w:rsidRDefault="004672EA" w:rsidP="004672EA">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377988AE" w14:textId="6ACC5E57" w:rsidR="004672EA" w:rsidRPr="004672EA" w:rsidRDefault="004672EA" w:rsidP="004672EA">
      <w:pPr>
        <w:rPr>
          <w:b/>
          <w:bCs/>
        </w:rPr>
      </w:pPr>
      <w:r w:rsidRPr="004672EA">
        <w:rPr>
          <w:b/>
          <w:bCs/>
        </w:rPr>
        <w:t>Problem Definition</w:t>
      </w:r>
    </w:p>
    <w:p w14:paraId="4C7D3A4D" w14:textId="77777777" w:rsidR="004672EA" w:rsidRPr="004672EA" w:rsidRDefault="004672EA" w:rsidP="004672EA">
      <w:r w:rsidRPr="004672EA">
        <w:t>This research addresses the lack of a structured, secure, and intelligent coordination platform for small agricultural stakeholders. The problem includes the following limitations:</w:t>
      </w:r>
    </w:p>
    <w:p w14:paraId="7B32738F" w14:textId="77777777" w:rsidR="004672EA" w:rsidRPr="004672EA" w:rsidRDefault="004672EA" w:rsidP="004672EA">
      <w:pPr>
        <w:numPr>
          <w:ilvl w:val="0"/>
          <w:numId w:val="1"/>
        </w:numPr>
      </w:pPr>
      <w:r w:rsidRPr="004672EA">
        <w:t xml:space="preserve">farmers do not have a clear way to view vendor demand in one place </w:t>
      </w:r>
    </w:p>
    <w:p w14:paraId="5988421D" w14:textId="77777777" w:rsidR="004672EA" w:rsidRPr="004672EA" w:rsidRDefault="004672EA" w:rsidP="004672EA">
      <w:pPr>
        <w:numPr>
          <w:ilvl w:val="0"/>
          <w:numId w:val="1"/>
        </w:numPr>
      </w:pPr>
      <w:r w:rsidRPr="004672EA">
        <w:t xml:space="preserve">vendors do not have a structured method to submit requests and track deliveries </w:t>
      </w:r>
    </w:p>
    <w:p w14:paraId="5B5D3477" w14:textId="77777777" w:rsidR="004672EA" w:rsidRPr="004672EA" w:rsidRDefault="004672EA" w:rsidP="004672EA">
      <w:pPr>
        <w:numPr>
          <w:ilvl w:val="0"/>
          <w:numId w:val="1"/>
        </w:numPr>
      </w:pPr>
      <w:r w:rsidRPr="004672EA">
        <w:t xml:space="preserve">dispatch planning is not supported by demand forecasting </w:t>
      </w:r>
    </w:p>
    <w:p w14:paraId="21B2A295" w14:textId="77777777" w:rsidR="004672EA" w:rsidRPr="004672EA" w:rsidRDefault="004672EA" w:rsidP="004672EA">
      <w:pPr>
        <w:numPr>
          <w:ilvl w:val="0"/>
          <w:numId w:val="1"/>
        </w:numPr>
      </w:pPr>
      <w:r w:rsidRPr="004672EA">
        <w:t xml:space="preserve">decision-making for farmers lacks data-driven vendor recommendations </w:t>
      </w:r>
    </w:p>
    <w:p w14:paraId="5D13F070" w14:textId="77777777" w:rsidR="004672EA" w:rsidRPr="004672EA" w:rsidRDefault="004672EA" w:rsidP="004672EA">
      <w:pPr>
        <w:numPr>
          <w:ilvl w:val="0"/>
          <w:numId w:val="1"/>
        </w:numPr>
      </w:pPr>
      <w:r w:rsidRPr="004672EA">
        <w:t>communication between farmers and vendors is often informal and fragmented</w:t>
      </w:r>
    </w:p>
    <w:p w14:paraId="13E93143"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1.3 Research Questions</w:t>
      </w:r>
    </w:p>
    <w:p w14:paraId="7413977A"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This project addresses the following research questions:</w:t>
      </w:r>
    </w:p>
    <w:p w14:paraId="2EA70FBE"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5A13BF91"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42A90BD2"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6A375193"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How can farmers be supported with vendor recommendations based on predicted demand and available inventory? </w:t>
      </w:r>
    </w:p>
    <w:p w14:paraId="67416FE2"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546E1821"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1.4 Literature Overview and Research Gap</w:t>
      </w:r>
    </w:p>
    <w:p w14:paraId="1EA07A77"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Research in agricultural supply chain management emphasizes the importance of demand forecasting, inventory visibility, delivery coordination, and communication efficiency. Existing systems such as AgriWebb, FarmLogs, </w:t>
      </w:r>
      <w:proofErr w:type="spellStart"/>
      <w:r w:rsidRPr="006E094E">
        <w:rPr>
          <w:rFonts w:eastAsia="Times New Roman" w:cs="Times New Roman"/>
          <w:kern w:val="0"/>
          <w:lang w:eastAsia="en-CA"/>
          <w14:ligatures w14:val="none"/>
        </w:rPr>
        <w:t>CropIn</w:t>
      </w:r>
      <w:proofErr w:type="spellEnd"/>
      <w:r w:rsidRPr="006E094E">
        <w:rPr>
          <w:rFonts w:eastAsia="Times New Roman" w:cs="Times New Roman"/>
          <w:kern w:val="0"/>
          <w:lang w:eastAsia="en-CA"/>
          <w14:ligatures w14:val="none"/>
        </w:rPr>
        <w:t>, and AgriDigital each support some aspects of agriculture operations, but several limitations remain:</w:t>
      </w:r>
    </w:p>
    <w:p w14:paraId="0D86DDDB"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systems are farmer-centric and do not strongly support vendor coordination </w:t>
      </w:r>
    </w:p>
    <w:p w14:paraId="09F9DDFF"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solutions target enterprise use rather than small-scale supply chains </w:t>
      </w:r>
    </w:p>
    <w:p w14:paraId="51C64565"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forecasting and optimization approaches assume large historical datasets </w:t>
      </w:r>
    </w:p>
    <w:p w14:paraId="3E6111A7"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most systems give limited attention to human-in-the-loop decision support </w:t>
      </w:r>
    </w:p>
    <w:p w14:paraId="2CEF04F7"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A key research gap is the lack of a lightweight, role-based, web-based platform that supports incremental data collection, forecasting, recommendation, and communication for smaller agricultural stakeholders. This project addresses that gap through a practical full-stack implementation using simulated and user-generated data.</w:t>
      </w:r>
    </w:p>
    <w:p w14:paraId="689E54A4"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1.5 Hypotheses and Expected Benefits</w:t>
      </w:r>
    </w:p>
    <w:p w14:paraId="1D21FA69"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3B905806"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B8DBBC4"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77692305"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7716856"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74BC65E8"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simulated and user-generated data can support meaningful early-stage research and evaluation </w:t>
      </w:r>
    </w:p>
    <w:p w14:paraId="7A9E7E19"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D5878FF"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3626A87A"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041A21FF"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7996E6A9" w14:textId="77777777" w:rsid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32361727" w14:textId="77777777" w:rsidR="001C4960" w:rsidRDefault="001C4960" w:rsidP="001C4960">
      <w:pPr>
        <w:spacing w:before="100" w:beforeAutospacing="1" w:after="100" w:afterAutospacing="1" w:line="240" w:lineRule="auto"/>
        <w:rPr>
          <w:rFonts w:eastAsia="Times New Roman" w:cs="Times New Roman"/>
          <w:kern w:val="0"/>
          <w:lang w:eastAsia="en-CA"/>
          <w14:ligatures w14:val="none"/>
        </w:rPr>
      </w:pPr>
    </w:p>
    <w:p w14:paraId="394FB313" w14:textId="77777777" w:rsidR="001C4960" w:rsidRPr="006E094E" w:rsidRDefault="001C4960" w:rsidP="001C4960">
      <w:pPr>
        <w:spacing w:before="100" w:beforeAutospacing="1" w:after="100" w:afterAutospacing="1" w:line="240" w:lineRule="auto"/>
        <w:rPr>
          <w:rFonts w:eastAsia="Times New Roman" w:cs="Times New Roman"/>
          <w:kern w:val="0"/>
          <w:lang w:eastAsia="en-CA"/>
          <w14:ligatures w14:val="none"/>
        </w:rPr>
      </w:pPr>
    </w:p>
    <w:p w14:paraId="4195B8D8" w14:textId="77777777" w:rsidR="001C4960" w:rsidRDefault="001C4960" w:rsidP="001C4960">
      <w:pPr>
        <w:pStyle w:val="Heading1"/>
        <w:numPr>
          <w:ilvl w:val="0"/>
          <w:numId w:val="6"/>
        </w:numPr>
        <w:tabs>
          <w:tab w:val="num" w:pos="720"/>
        </w:tabs>
      </w:pPr>
      <w:bookmarkStart w:id="0" w:name="_Toc222767189"/>
      <w:r>
        <w:lastRenderedPageBreak/>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77777777" w:rsidR="001C4960" w:rsidRPr="00D60134" w:rsidRDefault="001C4960" w:rsidP="001C4960">
      <w:pPr>
        <w:pStyle w:val="Subtitle"/>
        <w:ind w:firstLine="360"/>
        <w:rPr>
          <w:b/>
          <w:bCs/>
          <w:color w:val="auto"/>
        </w:rPr>
      </w:pPr>
      <w:r w:rsidRPr="00D60134">
        <w:rPr>
          <w:b/>
          <w:bCs/>
          <w:color w:val="auto"/>
        </w:rPr>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60134" w:rsidRDefault="001C4960" w:rsidP="001C4960">
      <w:pPr>
        <w:pStyle w:val="Subtitle"/>
        <w:rPr>
          <w:b/>
          <w:bCs/>
        </w:rPr>
      </w:pPr>
      <w:r w:rsidRPr="00D60134">
        <w:rPr>
          <w:b/>
          <w:bCs/>
          <w:color w:val="auto"/>
        </w:rPr>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7EA243E9" w14:textId="77777777" w:rsidR="002C5ECC" w:rsidRDefault="002C5ECC"/>
    <w:p w14:paraId="5D871A28" w14:textId="77777777" w:rsidR="002000F7" w:rsidRDefault="002000F7" w:rsidP="002000F7"/>
    <w:p w14:paraId="4647728D" w14:textId="77777777" w:rsidR="00615F45" w:rsidRPr="002000F7" w:rsidRDefault="00615F45" w:rsidP="00AF1894">
      <w:r>
        <w:t xml:space="preserve">       </w:t>
      </w:r>
    </w:p>
    <w:tbl>
      <w:tblPr>
        <w:tblW w:w="8840" w:type="dxa"/>
        <w:tblLook w:val="04A0" w:firstRow="1" w:lastRow="0" w:firstColumn="1" w:lastColumn="0" w:noHBand="0" w:noVBand="1"/>
      </w:tblPr>
      <w:tblGrid>
        <w:gridCol w:w="2045"/>
        <w:gridCol w:w="3313"/>
        <w:gridCol w:w="3482"/>
      </w:tblGrid>
      <w:tr w:rsidR="00615F45" w:rsidRPr="00615F45" w14:paraId="43D9218F" w14:textId="77777777" w:rsidTr="00615F45">
        <w:trPr>
          <w:trHeight w:val="825"/>
        </w:trPr>
        <w:tc>
          <w:tcPr>
            <w:tcW w:w="1859" w:type="dxa"/>
            <w:tcBorders>
              <w:top w:val="single" w:sz="8" w:space="0" w:color="E6E6E6"/>
              <w:left w:val="single" w:sz="8" w:space="0" w:color="E6E6E6"/>
              <w:bottom w:val="single" w:sz="8" w:space="0" w:color="E6E6E6"/>
              <w:right w:val="single" w:sz="8" w:space="0" w:color="E6E6E6"/>
            </w:tcBorders>
            <w:shd w:val="clear" w:color="000000" w:fill="F5F5F5"/>
            <w:vAlign w:val="center"/>
            <w:hideMark/>
          </w:tcPr>
          <w:p w14:paraId="3E0269B5" w14:textId="77777777" w:rsidR="00615F45" w:rsidRPr="00615F45" w:rsidRDefault="00615F45" w:rsidP="00615F45">
            <w:pPr>
              <w:spacing w:after="0" w:line="240" w:lineRule="auto"/>
              <w:jc w:val="center"/>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Change Area</w:t>
            </w:r>
          </w:p>
        </w:tc>
        <w:tc>
          <w:tcPr>
            <w:tcW w:w="3392" w:type="dxa"/>
            <w:tcBorders>
              <w:top w:val="single" w:sz="8" w:space="0" w:color="E6E6E6"/>
              <w:left w:val="nil"/>
              <w:bottom w:val="single" w:sz="8" w:space="0" w:color="E6E6E6"/>
              <w:right w:val="single" w:sz="8" w:space="0" w:color="E6E6E6"/>
            </w:tcBorders>
            <w:shd w:val="clear" w:color="000000" w:fill="F5F5F5"/>
            <w:vAlign w:val="center"/>
            <w:hideMark/>
          </w:tcPr>
          <w:p w14:paraId="7D9E2076" w14:textId="77777777" w:rsidR="00615F45" w:rsidRPr="00615F45" w:rsidRDefault="00615F45" w:rsidP="00615F45">
            <w:pPr>
              <w:spacing w:after="0" w:line="240" w:lineRule="auto"/>
              <w:jc w:val="center"/>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Description</w:t>
            </w:r>
          </w:p>
        </w:tc>
        <w:tc>
          <w:tcPr>
            <w:tcW w:w="3589" w:type="dxa"/>
            <w:tcBorders>
              <w:top w:val="single" w:sz="8" w:space="0" w:color="E6E6E6"/>
              <w:left w:val="nil"/>
              <w:bottom w:val="single" w:sz="8" w:space="0" w:color="E6E6E6"/>
              <w:right w:val="single" w:sz="8" w:space="0" w:color="E6E6E6"/>
            </w:tcBorders>
            <w:shd w:val="clear" w:color="000000" w:fill="F5F5F5"/>
            <w:vAlign w:val="center"/>
            <w:hideMark/>
          </w:tcPr>
          <w:p w14:paraId="36505BA9" w14:textId="77777777" w:rsidR="00615F45" w:rsidRPr="00615F45" w:rsidRDefault="00615F45" w:rsidP="00615F45">
            <w:pPr>
              <w:spacing w:after="0" w:line="240" w:lineRule="auto"/>
              <w:jc w:val="center"/>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Justification</w:t>
            </w:r>
          </w:p>
        </w:tc>
      </w:tr>
      <w:tr w:rsidR="00615F45" w:rsidRPr="00615F45" w14:paraId="79C20030"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7BE94981"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Forecast Model</w:t>
            </w:r>
          </w:p>
        </w:tc>
        <w:tc>
          <w:tcPr>
            <w:tcW w:w="3392" w:type="dxa"/>
            <w:tcBorders>
              <w:top w:val="nil"/>
              <w:left w:val="nil"/>
              <w:bottom w:val="single" w:sz="8" w:space="0" w:color="E6E6E6"/>
              <w:right w:val="single" w:sz="8" w:space="0" w:color="E6E6E6"/>
            </w:tcBorders>
            <w:shd w:val="clear" w:color="auto" w:fill="auto"/>
            <w:vAlign w:val="center"/>
            <w:hideMark/>
          </w:tcPr>
          <w:p w14:paraId="3FB5E2E8"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initially proposed simple logic</w:t>
            </w:r>
            <w:r w:rsidRPr="00615F45">
              <w:rPr>
                <w:rFonts w:ascii="Segoe UI" w:eastAsia="Times New Roman" w:hAnsi="Segoe UI" w:cs="Segoe UI"/>
                <w:color w:val="000000"/>
                <w:kern w:val="0"/>
                <w:sz w:val="22"/>
                <w:szCs w:val="22"/>
                <w:lang w:eastAsia="en-CA"/>
                <w14:ligatures w14:val="none"/>
              </w:rPr>
              <w:noBreakHyphen/>
              <w:t>based demand estimation approach and Moving Average algorithm was replaced with a machine learning</w:t>
            </w:r>
            <w:r w:rsidRPr="00615F45">
              <w:rPr>
                <w:rFonts w:ascii="Segoe UI" w:eastAsia="Times New Roman" w:hAnsi="Segoe UI" w:cs="Segoe UI"/>
                <w:color w:val="000000"/>
                <w:kern w:val="0"/>
                <w:sz w:val="22"/>
                <w:szCs w:val="22"/>
                <w:lang w:eastAsia="en-CA"/>
                <w14:ligatures w14:val="none"/>
              </w:rPr>
              <w:noBreakHyphen/>
              <w:t>based forecasting model using ML.NET Singular Spectrum Analysis (SSA).</w:t>
            </w:r>
          </w:p>
        </w:tc>
        <w:tc>
          <w:tcPr>
            <w:tcW w:w="3589" w:type="dxa"/>
            <w:tcBorders>
              <w:top w:val="nil"/>
              <w:left w:val="nil"/>
              <w:bottom w:val="single" w:sz="8" w:space="0" w:color="E6E6E6"/>
              <w:right w:val="single" w:sz="8" w:space="0" w:color="E6E6E6"/>
            </w:tcBorders>
            <w:shd w:val="clear" w:color="auto" w:fill="auto"/>
            <w:vAlign w:val="center"/>
            <w:hideMark/>
          </w:tcPr>
          <w:p w14:paraId="3FCEC0AA"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SSA model provides more accurate, data</w:t>
            </w:r>
            <w:r w:rsidRPr="00615F45">
              <w:rPr>
                <w:rFonts w:ascii="Segoe UI" w:eastAsia="Times New Roman" w:hAnsi="Segoe UI" w:cs="Segoe UI"/>
                <w:color w:val="000000"/>
                <w:kern w:val="0"/>
                <w:sz w:val="22"/>
                <w:szCs w:val="22"/>
                <w:lang w:eastAsia="en-CA"/>
                <w14:ligatures w14:val="none"/>
              </w:rPr>
              <w:noBreakHyphen/>
              <w:t>driven, and scalable demand forecasts by analyzing historical time</w:t>
            </w:r>
            <w:r w:rsidRPr="00615F45">
              <w:rPr>
                <w:rFonts w:ascii="Segoe UI" w:eastAsia="Times New Roman" w:hAnsi="Segoe UI" w:cs="Segoe UI"/>
                <w:color w:val="000000"/>
                <w:kern w:val="0"/>
                <w:sz w:val="22"/>
                <w:szCs w:val="22"/>
                <w:lang w:eastAsia="en-CA"/>
                <w14:ligatures w14:val="none"/>
              </w:rPr>
              <w:noBreakHyphen/>
              <w:t>series data, enabling better production planning and dispatch decisions.</w:t>
            </w:r>
          </w:p>
        </w:tc>
      </w:tr>
      <w:tr w:rsidR="00615F45" w:rsidRPr="00615F45" w14:paraId="6ED562ED"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228E27C0"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lastRenderedPageBreak/>
              <w:t>Forecasting Integration (New Addition)</w:t>
            </w:r>
          </w:p>
        </w:tc>
        <w:tc>
          <w:tcPr>
            <w:tcW w:w="3392" w:type="dxa"/>
            <w:tcBorders>
              <w:top w:val="nil"/>
              <w:left w:val="nil"/>
              <w:bottom w:val="single" w:sz="8" w:space="0" w:color="E6E6E6"/>
              <w:right w:val="single" w:sz="8" w:space="0" w:color="E6E6E6"/>
            </w:tcBorders>
            <w:shd w:val="clear" w:color="auto" w:fill="auto"/>
            <w:vAlign w:val="center"/>
            <w:hideMark/>
          </w:tcPr>
          <w:p w14:paraId="4297C365"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ML</w:t>
            </w:r>
            <w:r w:rsidRPr="00615F45">
              <w:rPr>
                <w:rFonts w:ascii="Segoe UI" w:eastAsia="Times New Roman" w:hAnsi="Segoe UI" w:cs="Segoe UI"/>
                <w:color w:val="000000"/>
                <w:kern w:val="0"/>
                <w:sz w:val="22"/>
                <w:szCs w:val="22"/>
                <w:lang w:eastAsia="en-CA"/>
                <w14:ligatures w14:val="none"/>
              </w:rPr>
              <w:noBreakHyphen/>
              <w:t>based demand forecasting was fully embedded into the operational workflow and used as a core input for vendor recommendations.</w:t>
            </w:r>
          </w:p>
        </w:tc>
        <w:tc>
          <w:tcPr>
            <w:tcW w:w="3589" w:type="dxa"/>
            <w:tcBorders>
              <w:top w:val="nil"/>
              <w:left w:val="nil"/>
              <w:bottom w:val="single" w:sz="8" w:space="0" w:color="E6E6E6"/>
              <w:right w:val="single" w:sz="8" w:space="0" w:color="E6E6E6"/>
            </w:tcBorders>
            <w:shd w:val="clear" w:color="auto" w:fill="auto"/>
            <w:vAlign w:val="center"/>
            <w:hideMark/>
          </w:tcPr>
          <w:p w14:paraId="532FE0F1"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615F45" w:rsidRPr="00615F45" w14:paraId="6DEB7229"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0B411516"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Dashboard Architecture</w:t>
            </w:r>
          </w:p>
        </w:tc>
        <w:tc>
          <w:tcPr>
            <w:tcW w:w="3392" w:type="dxa"/>
            <w:tcBorders>
              <w:top w:val="nil"/>
              <w:left w:val="nil"/>
              <w:bottom w:val="single" w:sz="8" w:space="0" w:color="E6E6E6"/>
              <w:right w:val="single" w:sz="8" w:space="0" w:color="E6E6E6"/>
            </w:tcBorders>
            <w:shd w:val="clear" w:color="auto" w:fill="auto"/>
            <w:vAlign w:val="center"/>
            <w:hideMark/>
          </w:tcPr>
          <w:p w14:paraId="5AD2B18D"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dashboard was upgraded from a static UI design to a fully dynamic, API</w:t>
            </w:r>
            <w:r w:rsidRPr="00615F45">
              <w:rPr>
                <w:rFonts w:ascii="Segoe UI" w:eastAsia="Times New Roman" w:hAnsi="Segoe UI" w:cs="Segoe UI"/>
                <w:color w:val="000000"/>
                <w:kern w:val="0"/>
                <w:sz w:val="22"/>
                <w:szCs w:val="22"/>
                <w:lang w:eastAsia="en-CA"/>
                <w14:ligatures w14:val="none"/>
              </w:rPr>
              <w:noBreakHyphen/>
              <w:t>driven architecture supporting real</w:t>
            </w:r>
            <w:r w:rsidRPr="00615F45">
              <w:rPr>
                <w:rFonts w:ascii="Segoe UI" w:eastAsia="Times New Roman" w:hAnsi="Segoe UI" w:cs="Segoe UI"/>
                <w:color w:val="000000"/>
                <w:kern w:val="0"/>
                <w:sz w:val="22"/>
                <w:szCs w:val="22"/>
                <w:lang w:eastAsia="en-CA"/>
                <w14:ligatures w14:val="none"/>
              </w:rPr>
              <w:noBreakHyphen/>
              <w:t>time data updates.</w:t>
            </w:r>
          </w:p>
        </w:tc>
        <w:tc>
          <w:tcPr>
            <w:tcW w:w="3589" w:type="dxa"/>
            <w:tcBorders>
              <w:top w:val="nil"/>
              <w:left w:val="nil"/>
              <w:bottom w:val="single" w:sz="8" w:space="0" w:color="E6E6E6"/>
              <w:right w:val="single" w:sz="8" w:space="0" w:color="E6E6E6"/>
            </w:tcBorders>
            <w:shd w:val="clear" w:color="auto" w:fill="auto"/>
            <w:vAlign w:val="center"/>
            <w:hideMark/>
          </w:tcPr>
          <w:p w14:paraId="5FF24FC7"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This change improved system responsiveness and enabled real</w:t>
            </w:r>
            <w:r w:rsidRPr="00615F45">
              <w:rPr>
                <w:rFonts w:ascii="Segoe UI" w:eastAsia="Times New Roman" w:hAnsi="Segoe UI" w:cs="Segoe UI"/>
                <w:color w:val="000000"/>
                <w:kern w:val="0"/>
                <w:sz w:val="22"/>
                <w:szCs w:val="22"/>
                <w:lang w:eastAsia="en-CA"/>
                <w14:ligatures w14:val="none"/>
              </w:rPr>
              <w:noBreakHyphen/>
              <w:t>time visibility of inventory, requests, forecasts, and recommendations, enhancing user decision</w:t>
            </w:r>
            <w:r w:rsidRPr="00615F45">
              <w:rPr>
                <w:rFonts w:ascii="Segoe UI" w:eastAsia="Times New Roman" w:hAnsi="Segoe UI" w:cs="Segoe UI"/>
                <w:color w:val="000000"/>
                <w:kern w:val="0"/>
                <w:sz w:val="22"/>
                <w:szCs w:val="22"/>
                <w:lang w:eastAsia="en-CA"/>
                <w14:ligatures w14:val="none"/>
              </w:rPr>
              <w:noBreakHyphen/>
              <w:t>making.</w:t>
            </w:r>
          </w:p>
        </w:tc>
      </w:tr>
      <w:tr w:rsidR="00615F45" w:rsidRPr="00615F45" w14:paraId="499C3720"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7C878C2C"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Authentication and Security</w:t>
            </w:r>
          </w:p>
        </w:tc>
        <w:tc>
          <w:tcPr>
            <w:tcW w:w="3392" w:type="dxa"/>
            <w:tcBorders>
              <w:top w:val="nil"/>
              <w:left w:val="nil"/>
              <w:bottom w:val="single" w:sz="8" w:space="0" w:color="E6E6E6"/>
              <w:right w:val="single" w:sz="8" w:space="0" w:color="E6E6E6"/>
            </w:tcBorders>
            <w:shd w:val="clear" w:color="auto" w:fill="auto"/>
            <w:vAlign w:val="center"/>
            <w:hideMark/>
          </w:tcPr>
          <w:p w14:paraId="771968CB"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Role</w:t>
            </w:r>
            <w:r w:rsidRPr="00615F45">
              <w:rPr>
                <w:rFonts w:ascii="Segoe UI" w:eastAsia="Times New Roman" w:hAnsi="Segoe UI" w:cs="Segoe UI"/>
                <w:color w:val="000000"/>
                <w:kern w:val="0"/>
                <w:sz w:val="22"/>
                <w:szCs w:val="22"/>
                <w:lang w:eastAsia="en-CA"/>
                <w14:ligatures w14:val="none"/>
              </w:rPr>
              <w:noBreakHyphen/>
              <w:t>based authentication was implemented using ASP.NET Identity with JWT</w:t>
            </w:r>
            <w:r w:rsidRPr="00615F45">
              <w:rPr>
                <w:rFonts w:ascii="Segoe UI" w:eastAsia="Times New Roman" w:hAnsi="Segoe UI" w:cs="Segoe UI"/>
                <w:color w:val="000000"/>
                <w:kern w:val="0"/>
                <w:sz w:val="22"/>
                <w:szCs w:val="22"/>
                <w:lang w:eastAsia="en-CA"/>
                <w14:ligatures w14:val="none"/>
              </w:rPr>
              <w:noBreakHyphen/>
              <w:t>based authorization.</w:t>
            </w:r>
          </w:p>
        </w:tc>
        <w:tc>
          <w:tcPr>
            <w:tcW w:w="3589" w:type="dxa"/>
            <w:tcBorders>
              <w:top w:val="nil"/>
              <w:left w:val="nil"/>
              <w:bottom w:val="single" w:sz="8" w:space="0" w:color="E6E6E6"/>
              <w:right w:val="single" w:sz="8" w:space="0" w:color="E6E6E6"/>
            </w:tcBorders>
            <w:shd w:val="clear" w:color="auto" w:fill="auto"/>
            <w:vAlign w:val="center"/>
            <w:hideMark/>
          </w:tcPr>
          <w:p w14:paraId="24D63AD8"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Secure role separation was required to protect sensitive data and enforce access control between farmer and vendor functionalities.</w:t>
            </w:r>
          </w:p>
        </w:tc>
      </w:tr>
      <w:tr w:rsidR="00615F45" w:rsidRPr="00615F45" w14:paraId="535B63BB"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08FBAB7B"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Recommendation Logic</w:t>
            </w:r>
          </w:p>
        </w:tc>
        <w:tc>
          <w:tcPr>
            <w:tcW w:w="3392" w:type="dxa"/>
            <w:tcBorders>
              <w:top w:val="nil"/>
              <w:left w:val="nil"/>
              <w:bottom w:val="single" w:sz="8" w:space="0" w:color="E6E6E6"/>
              <w:right w:val="single" w:sz="8" w:space="0" w:color="E6E6E6"/>
            </w:tcBorders>
            <w:shd w:val="clear" w:color="auto" w:fill="auto"/>
            <w:vAlign w:val="center"/>
            <w:hideMark/>
          </w:tcPr>
          <w:p w14:paraId="39EE53E4"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original optimization</w:t>
            </w:r>
            <w:r w:rsidRPr="00615F45">
              <w:rPr>
                <w:rFonts w:ascii="Segoe UI" w:eastAsia="Times New Roman" w:hAnsi="Segoe UI" w:cs="Segoe UI"/>
                <w:color w:val="000000"/>
                <w:kern w:val="0"/>
                <w:sz w:val="22"/>
                <w:szCs w:val="22"/>
                <w:lang w:eastAsia="en-CA"/>
                <w14:ligatures w14:val="none"/>
              </w:rPr>
              <w:noBreakHyphen/>
              <w:t>based approach was simplified into a weighted scoring</w:t>
            </w:r>
            <w:r w:rsidRPr="00615F45">
              <w:rPr>
                <w:rFonts w:ascii="Segoe UI" w:eastAsia="Times New Roman" w:hAnsi="Segoe UI" w:cs="Segoe UI"/>
                <w:color w:val="000000"/>
                <w:kern w:val="0"/>
                <w:sz w:val="22"/>
                <w:szCs w:val="22"/>
                <w:lang w:eastAsia="en-CA"/>
                <w14:ligatures w14:val="none"/>
              </w:rPr>
              <w:noBreakHyphen/>
              <w:t>based recommendation system.</w:t>
            </w:r>
          </w:p>
        </w:tc>
        <w:tc>
          <w:tcPr>
            <w:tcW w:w="3589" w:type="dxa"/>
            <w:tcBorders>
              <w:top w:val="nil"/>
              <w:left w:val="nil"/>
              <w:bottom w:val="single" w:sz="8" w:space="0" w:color="E6E6E6"/>
              <w:right w:val="single" w:sz="8" w:space="0" w:color="E6E6E6"/>
            </w:tcBorders>
            <w:shd w:val="clear" w:color="auto" w:fill="auto"/>
            <w:vAlign w:val="center"/>
            <w:hideMark/>
          </w:tcPr>
          <w:p w14:paraId="0715333D"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scoring approach improved interpretability and usability, making recommendation logic easier for non</w:t>
            </w:r>
            <w:r w:rsidRPr="00615F45">
              <w:rPr>
                <w:rFonts w:ascii="Segoe UI" w:eastAsia="Times New Roman" w:hAnsi="Segoe UI" w:cs="Segoe UI"/>
                <w:color w:val="000000"/>
                <w:kern w:val="0"/>
                <w:sz w:val="22"/>
                <w:szCs w:val="22"/>
                <w:lang w:eastAsia="en-CA"/>
                <w14:ligatures w14:val="none"/>
              </w:rPr>
              <w:noBreakHyphen/>
              <w:t>technical agricultural users to understand and trust.</w:t>
            </w:r>
          </w:p>
        </w:tc>
      </w:tr>
      <w:tr w:rsidR="00615F45" w:rsidRPr="00615F45" w14:paraId="219C3BBD"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740DDC17"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Relationship Tracking Enhancement</w:t>
            </w:r>
          </w:p>
        </w:tc>
        <w:tc>
          <w:tcPr>
            <w:tcW w:w="3392" w:type="dxa"/>
            <w:tcBorders>
              <w:top w:val="nil"/>
              <w:left w:val="nil"/>
              <w:bottom w:val="single" w:sz="8" w:space="0" w:color="E6E6E6"/>
              <w:right w:val="single" w:sz="8" w:space="0" w:color="E6E6E6"/>
            </w:tcBorders>
            <w:shd w:val="clear" w:color="auto" w:fill="auto"/>
            <w:vAlign w:val="center"/>
            <w:hideMark/>
          </w:tcPr>
          <w:p w14:paraId="52C1526B"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A new relationship</w:t>
            </w:r>
            <w:r w:rsidRPr="00615F45">
              <w:rPr>
                <w:rFonts w:ascii="Segoe UI" w:eastAsia="Times New Roman" w:hAnsi="Segoe UI" w:cs="Segoe UI"/>
                <w:color w:val="000000"/>
                <w:kern w:val="0"/>
                <w:sz w:val="22"/>
                <w:szCs w:val="22"/>
                <w:lang w:eastAsia="en-CA"/>
                <w14:ligatures w14:val="none"/>
              </w:rPr>
              <w:noBreakHyphen/>
              <w:t>tracking entity was introduced to record historical farmer–vendor interactions and compute a relationship score.</w:t>
            </w:r>
          </w:p>
        </w:tc>
        <w:tc>
          <w:tcPr>
            <w:tcW w:w="3589" w:type="dxa"/>
            <w:tcBorders>
              <w:top w:val="nil"/>
              <w:left w:val="nil"/>
              <w:bottom w:val="single" w:sz="8" w:space="0" w:color="E6E6E6"/>
              <w:right w:val="single" w:sz="8" w:space="0" w:color="E6E6E6"/>
            </w:tcBorders>
            <w:shd w:val="clear" w:color="auto" w:fill="auto"/>
            <w:vAlign w:val="center"/>
            <w:hideMark/>
          </w:tcPr>
          <w:p w14:paraId="5D83BAA5"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Including relationship history improved recommendation accuracy by accounting for prior collaboration performance and trust.</w:t>
            </w:r>
          </w:p>
        </w:tc>
      </w:tr>
      <w:tr w:rsidR="00615F45" w:rsidRPr="00615F45" w14:paraId="57193519"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01AC7571"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lastRenderedPageBreak/>
              <w:t>Location Feature</w:t>
            </w:r>
          </w:p>
        </w:tc>
        <w:tc>
          <w:tcPr>
            <w:tcW w:w="3392" w:type="dxa"/>
            <w:tcBorders>
              <w:top w:val="nil"/>
              <w:left w:val="nil"/>
              <w:bottom w:val="single" w:sz="8" w:space="0" w:color="E6E6E6"/>
              <w:right w:val="single" w:sz="8" w:space="0" w:color="E6E6E6"/>
            </w:tcBorders>
            <w:shd w:val="clear" w:color="auto" w:fill="auto"/>
            <w:vAlign w:val="center"/>
            <w:hideMark/>
          </w:tcPr>
          <w:p w14:paraId="502210DE"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Latitude and longitude fields were added to user profiles to support geospatial calculations.</w:t>
            </w:r>
          </w:p>
        </w:tc>
        <w:tc>
          <w:tcPr>
            <w:tcW w:w="3589" w:type="dxa"/>
            <w:tcBorders>
              <w:top w:val="nil"/>
              <w:left w:val="nil"/>
              <w:bottom w:val="single" w:sz="8" w:space="0" w:color="E6E6E6"/>
              <w:right w:val="single" w:sz="8" w:space="0" w:color="E6E6E6"/>
            </w:tcBorders>
            <w:shd w:val="clear" w:color="auto" w:fill="auto"/>
            <w:vAlign w:val="center"/>
            <w:hideMark/>
          </w:tcPr>
          <w:p w14:paraId="45EE03EB"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Geolocation data is required to compute distances between farmers and vendors, which is essential for distance</w:t>
            </w:r>
            <w:r w:rsidRPr="00615F45">
              <w:rPr>
                <w:rFonts w:ascii="Segoe UI" w:eastAsia="Times New Roman" w:hAnsi="Segoe UI" w:cs="Segoe UI"/>
                <w:color w:val="000000"/>
                <w:kern w:val="0"/>
                <w:sz w:val="22"/>
                <w:szCs w:val="22"/>
                <w:lang w:eastAsia="en-CA"/>
                <w14:ligatures w14:val="none"/>
              </w:rPr>
              <w:noBreakHyphen/>
              <w:t>based ranking and logistics optimization.</w:t>
            </w:r>
          </w:p>
        </w:tc>
      </w:tr>
      <w:tr w:rsidR="00615F45" w:rsidRPr="00615F45" w14:paraId="00DF7033"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7D16DB0B"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Data Generation Strategy</w:t>
            </w:r>
          </w:p>
        </w:tc>
        <w:tc>
          <w:tcPr>
            <w:tcW w:w="3392" w:type="dxa"/>
            <w:tcBorders>
              <w:top w:val="nil"/>
              <w:left w:val="nil"/>
              <w:bottom w:val="single" w:sz="8" w:space="0" w:color="E6E6E6"/>
              <w:right w:val="single" w:sz="8" w:space="0" w:color="E6E6E6"/>
            </w:tcBorders>
            <w:shd w:val="clear" w:color="auto" w:fill="auto"/>
            <w:vAlign w:val="center"/>
            <w:hideMark/>
          </w:tcPr>
          <w:p w14:paraId="70DE2277"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 initial simulated dataset approach was enhanced to include multi</w:t>
            </w:r>
            <w:r w:rsidRPr="00615F45">
              <w:rPr>
                <w:rFonts w:ascii="Segoe UI" w:eastAsia="Times New Roman" w:hAnsi="Segoe UI" w:cs="Segoe UI"/>
                <w:color w:val="000000"/>
                <w:kern w:val="0"/>
                <w:sz w:val="22"/>
                <w:szCs w:val="22"/>
                <w:lang w:eastAsia="en-CA"/>
                <w14:ligatures w14:val="none"/>
              </w:rPr>
              <w:noBreakHyphen/>
              <w:t>period historical demand, inventory, and dispatch data.</w:t>
            </w:r>
          </w:p>
        </w:tc>
        <w:tc>
          <w:tcPr>
            <w:tcW w:w="3589" w:type="dxa"/>
            <w:tcBorders>
              <w:top w:val="nil"/>
              <w:left w:val="nil"/>
              <w:bottom w:val="single" w:sz="8" w:space="0" w:color="E6E6E6"/>
              <w:right w:val="single" w:sz="8" w:space="0" w:color="E6E6E6"/>
            </w:tcBorders>
            <w:shd w:val="clear" w:color="auto" w:fill="auto"/>
            <w:vAlign w:val="center"/>
            <w:hideMark/>
          </w:tcPr>
          <w:p w14:paraId="14DD179C"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More realistic historical data was necessary to support reliable machine learning forecasting and to reflect real</w:t>
            </w:r>
            <w:r w:rsidRPr="00615F45">
              <w:rPr>
                <w:rFonts w:ascii="Segoe UI" w:eastAsia="Times New Roman" w:hAnsi="Segoe UI" w:cs="Segoe UI"/>
                <w:color w:val="000000"/>
                <w:kern w:val="0"/>
                <w:sz w:val="22"/>
                <w:szCs w:val="22"/>
                <w:lang w:eastAsia="en-CA"/>
                <w14:ligatures w14:val="none"/>
              </w:rPr>
              <w:noBreakHyphen/>
              <w:t>world agricultural scenarios.</w:t>
            </w:r>
          </w:p>
        </w:tc>
      </w:tr>
      <w:tr w:rsidR="00615F45" w:rsidRPr="00615F45" w14:paraId="22BB5A0A"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16E014AB"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User Experience Improvements</w:t>
            </w:r>
          </w:p>
        </w:tc>
        <w:tc>
          <w:tcPr>
            <w:tcW w:w="3392" w:type="dxa"/>
            <w:tcBorders>
              <w:top w:val="nil"/>
              <w:left w:val="nil"/>
              <w:bottom w:val="single" w:sz="8" w:space="0" w:color="E6E6E6"/>
              <w:right w:val="single" w:sz="8" w:space="0" w:color="E6E6E6"/>
            </w:tcBorders>
            <w:shd w:val="clear" w:color="auto" w:fill="auto"/>
            <w:vAlign w:val="center"/>
            <w:hideMark/>
          </w:tcPr>
          <w:p w14:paraId="2D85AA2F"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Searchable dropdowns, improved navigation through a shared sidebar layout, and improved input validation were introduced.</w:t>
            </w:r>
          </w:p>
        </w:tc>
        <w:tc>
          <w:tcPr>
            <w:tcW w:w="3589" w:type="dxa"/>
            <w:tcBorders>
              <w:top w:val="nil"/>
              <w:left w:val="nil"/>
              <w:bottom w:val="single" w:sz="8" w:space="0" w:color="E6E6E6"/>
              <w:right w:val="single" w:sz="8" w:space="0" w:color="E6E6E6"/>
            </w:tcBorders>
            <w:shd w:val="clear" w:color="auto" w:fill="auto"/>
            <w:vAlign w:val="center"/>
            <w:hideMark/>
          </w:tcPr>
          <w:p w14:paraId="7BDE85AE"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These changes significantly improved usability, reduced user errors, and enhanced overall interaction efficiency for both farmer and vendor roles.</w:t>
            </w:r>
          </w:p>
        </w:tc>
      </w:tr>
      <w:tr w:rsidR="00615F45" w:rsidRPr="00615F45" w14:paraId="41E5E2EF" w14:textId="77777777" w:rsidTr="00615F45">
        <w:trPr>
          <w:trHeight w:val="2280"/>
        </w:trPr>
        <w:tc>
          <w:tcPr>
            <w:tcW w:w="1859" w:type="dxa"/>
            <w:tcBorders>
              <w:top w:val="nil"/>
              <w:left w:val="single" w:sz="8" w:space="0" w:color="E6E6E6"/>
              <w:bottom w:val="single" w:sz="8" w:space="0" w:color="E6E6E6"/>
              <w:right w:val="single" w:sz="8" w:space="0" w:color="E6E6E6"/>
            </w:tcBorders>
            <w:shd w:val="clear" w:color="000000" w:fill="F5F5F5"/>
            <w:vAlign w:val="center"/>
            <w:hideMark/>
          </w:tcPr>
          <w:p w14:paraId="0879EA35" w14:textId="77777777" w:rsidR="00615F45" w:rsidRPr="00615F45" w:rsidRDefault="00615F45" w:rsidP="00615F45">
            <w:pPr>
              <w:spacing w:after="0" w:line="240" w:lineRule="auto"/>
              <w:rPr>
                <w:rFonts w:ascii="Segoe UI" w:eastAsia="Times New Roman" w:hAnsi="Segoe UI" w:cs="Segoe UI"/>
                <w:b/>
                <w:bCs/>
                <w:color w:val="000000"/>
                <w:kern w:val="0"/>
                <w:sz w:val="22"/>
                <w:szCs w:val="22"/>
                <w:lang w:eastAsia="en-CA"/>
                <w14:ligatures w14:val="none"/>
              </w:rPr>
            </w:pPr>
            <w:r w:rsidRPr="00615F45">
              <w:rPr>
                <w:rFonts w:ascii="Segoe UI" w:eastAsia="Times New Roman" w:hAnsi="Segoe UI" w:cs="Segoe UI"/>
                <w:b/>
                <w:bCs/>
                <w:color w:val="000000"/>
                <w:kern w:val="0"/>
                <w:sz w:val="22"/>
                <w:szCs w:val="22"/>
                <w:lang w:eastAsia="en-CA"/>
                <w14:ligatures w14:val="none"/>
              </w:rPr>
              <w:t>Chat Module</w:t>
            </w:r>
          </w:p>
        </w:tc>
        <w:tc>
          <w:tcPr>
            <w:tcW w:w="3392" w:type="dxa"/>
            <w:tcBorders>
              <w:top w:val="nil"/>
              <w:left w:val="nil"/>
              <w:bottom w:val="single" w:sz="8" w:space="0" w:color="E6E6E6"/>
              <w:right w:val="single" w:sz="8" w:space="0" w:color="E6E6E6"/>
            </w:tcBorders>
            <w:shd w:val="clear" w:color="auto" w:fill="auto"/>
            <w:vAlign w:val="center"/>
            <w:hideMark/>
          </w:tcPr>
          <w:p w14:paraId="481AAC0D"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A real</w:t>
            </w:r>
            <w:r w:rsidRPr="00615F45">
              <w:rPr>
                <w:rFonts w:ascii="Segoe UI" w:eastAsia="Times New Roman" w:hAnsi="Segoe UI" w:cs="Segoe UI"/>
                <w:color w:val="000000"/>
                <w:kern w:val="0"/>
                <w:sz w:val="22"/>
                <w:szCs w:val="22"/>
                <w:lang w:eastAsia="en-CA"/>
                <w14:ligatures w14:val="none"/>
              </w:rPr>
              <w:noBreakHyphen/>
              <w:t xml:space="preserve">time communication module was added using </w:t>
            </w:r>
            <w:proofErr w:type="spellStart"/>
            <w:r w:rsidRPr="00615F45">
              <w:rPr>
                <w:rFonts w:ascii="Segoe UI" w:eastAsia="Times New Roman" w:hAnsi="Segoe UI" w:cs="Segoe UI"/>
                <w:color w:val="000000"/>
                <w:kern w:val="0"/>
                <w:sz w:val="22"/>
                <w:szCs w:val="22"/>
                <w:lang w:eastAsia="en-CA"/>
                <w14:ligatures w14:val="none"/>
              </w:rPr>
              <w:t>SignalR</w:t>
            </w:r>
            <w:proofErr w:type="spellEnd"/>
            <w:r w:rsidRPr="00615F45">
              <w:rPr>
                <w:rFonts w:ascii="Segoe UI" w:eastAsia="Times New Roman" w:hAnsi="Segoe UI" w:cs="Segoe UI"/>
                <w:color w:val="000000"/>
                <w:kern w:val="0"/>
                <w:sz w:val="22"/>
                <w:szCs w:val="22"/>
                <w:lang w:eastAsia="en-CA"/>
                <w14:ligatures w14:val="none"/>
              </w:rPr>
              <w:t>.</w:t>
            </w:r>
          </w:p>
        </w:tc>
        <w:tc>
          <w:tcPr>
            <w:tcW w:w="3589" w:type="dxa"/>
            <w:tcBorders>
              <w:top w:val="nil"/>
              <w:left w:val="nil"/>
              <w:bottom w:val="single" w:sz="8" w:space="0" w:color="E6E6E6"/>
              <w:right w:val="single" w:sz="8" w:space="0" w:color="E6E6E6"/>
            </w:tcBorders>
            <w:shd w:val="clear" w:color="auto" w:fill="auto"/>
            <w:vAlign w:val="center"/>
            <w:hideMark/>
          </w:tcPr>
          <w:p w14:paraId="42473C6C" w14:textId="77777777" w:rsidR="00615F45" w:rsidRPr="00615F45" w:rsidRDefault="00615F45" w:rsidP="00615F45">
            <w:pPr>
              <w:spacing w:after="0" w:line="240" w:lineRule="auto"/>
              <w:rPr>
                <w:rFonts w:ascii="Segoe UI" w:eastAsia="Times New Roman" w:hAnsi="Segoe UI" w:cs="Segoe UI"/>
                <w:color w:val="000000"/>
                <w:kern w:val="0"/>
                <w:sz w:val="22"/>
                <w:szCs w:val="22"/>
                <w:lang w:eastAsia="en-CA"/>
                <w14:ligatures w14:val="none"/>
              </w:rPr>
            </w:pPr>
            <w:r w:rsidRPr="00615F45">
              <w:rPr>
                <w:rFonts w:ascii="Segoe UI" w:eastAsia="Times New Roman" w:hAnsi="Segoe UI" w:cs="Segoe UI"/>
                <w:color w:val="000000"/>
                <w:kern w:val="0"/>
                <w:sz w:val="22"/>
                <w:szCs w:val="22"/>
                <w:lang w:eastAsia="en-CA"/>
                <w14:ligatures w14:val="none"/>
              </w:rPr>
              <w:t>Real</w:t>
            </w:r>
            <w:r w:rsidRPr="00615F45">
              <w:rPr>
                <w:rFonts w:ascii="Segoe UI" w:eastAsia="Times New Roman" w:hAnsi="Segoe UI" w:cs="Segoe UI"/>
                <w:color w:val="000000"/>
                <w:kern w:val="0"/>
                <w:sz w:val="22"/>
                <w:szCs w:val="22"/>
                <w:lang w:eastAsia="en-CA"/>
                <w14:ligatures w14:val="none"/>
              </w:rPr>
              <w:noBreakHyphen/>
              <w:t>time messaging was required to support timely coordination, negotiations, and clarification during dispatch and fulfillment processes.</w:t>
            </w:r>
          </w:p>
        </w:tc>
      </w:tr>
    </w:tbl>
    <w:p w14:paraId="53F20606" w14:textId="2BE333D0" w:rsidR="002000F7" w:rsidRPr="002000F7" w:rsidRDefault="002000F7" w:rsidP="00AF1894"/>
    <w:sectPr w:rsidR="002000F7" w:rsidRPr="002000F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2"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10"/>
  </w:num>
  <w:num w:numId="2" w16cid:durableId="1327124678">
    <w:abstractNumId w:val="4"/>
  </w:num>
  <w:num w:numId="3" w16cid:durableId="179129693">
    <w:abstractNumId w:val="0"/>
  </w:num>
  <w:num w:numId="4" w16cid:durableId="55783816">
    <w:abstractNumId w:val="5"/>
  </w:num>
  <w:num w:numId="5" w16cid:durableId="1949118223">
    <w:abstractNumId w:val="13"/>
  </w:num>
  <w:num w:numId="6" w16cid:durableId="702362771">
    <w:abstractNumId w:val="6"/>
  </w:num>
  <w:num w:numId="7" w16cid:durableId="960067666">
    <w:abstractNumId w:val="9"/>
  </w:num>
  <w:num w:numId="8" w16cid:durableId="640187390">
    <w:abstractNumId w:val="1"/>
  </w:num>
  <w:num w:numId="9" w16cid:durableId="1103577767">
    <w:abstractNumId w:val="11"/>
  </w:num>
  <w:num w:numId="10" w16cid:durableId="1195340797">
    <w:abstractNumId w:val="2"/>
  </w:num>
  <w:num w:numId="11" w16cid:durableId="1925067143">
    <w:abstractNumId w:val="8"/>
  </w:num>
  <w:num w:numId="12" w16cid:durableId="253977761">
    <w:abstractNumId w:val="7"/>
  </w:num>
  <w:num w:numId="13" w16cid:durableId="25525118">
    <w:abstractNumId w:val="12"/>
  </w:num>
  <w:num w:numId="14" w16cid:durableId="13946183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75C09"/>
    <w:rsid w:val="001C4960"/>
    <w:rsid w:val="002000F7"/>
    <w:rsid w:val="002C5ECC"/>
    <w:rsid w:val="004672EA"/>
    <w:rsid w:val="005146A0"/>
    <w:rsid w:val="005D4547"/>
    <w:rsid w:val="00615F45"/>
    <w:rsid w:val="006E094E"/>
    <w:rsid w:val="00712C1F"/>
    <w:rsid w:val="007C1E48"/>
    <w:rsid w:val="00814CCE"/>
    <w:rsid w:val="00A0781E"/>
    <w:rsid w:val="00AF1894"/>
    <w:rsid w:val="00BB5C13"/>
    <w:rsid w:val="00CA7C10"/>
    <w:rsid w:val="00E22A03"/>
    <w:rsid w:val="00E5084D"/>
    <w:rsid w:val="00FB1A34"/>
    <w:rsid w:val="00FD25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9</Pages>
  <Words>2313</Words>
  <Characters>13190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13</cp:revision>
  <dcterms:created xsi:type="dcterms:W3CDTF">2026-03-24T04:03:00Z</dcterms:created>
  <dcterms:modified xsi:type="dcterms:W3CDTF">2026-04-07T19:34:00Z</dcterms:modified>
</cp:coreProperties>
</file>