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600"/>
        <w:jc w:val="center"/>
      </w:pPr>
      <w:r>
        <w:rPr>
          <w:rFonts w:ascii="Arial" w:cs="Arial" w:eastAsia="Arial" w:hAnsi="Arial"/>
          <w:b/>
          <w:bCs/>
          <w:color w:val="2E75B6"/>
          <w:sz w:val="48"/>
          <w:szCs w:val="48"/>
        </w:rPr>
        <w:t xml:space="preserve">SDTM Data Pipeline</w:t>
      </w:r>
    </w:p>
    <w:p>
      <w:pPr>
        <w:spacing w:after="100"/>
        <w:jc w:val="center"/>
      </w:pPr>
      <w:r>
        <w:rPr>
          <w:rFonts w:ascii="Arial" w:cs="Arial" w:eastAsia="Arial" w:hAnsi="Arial"/>
          <w:color w:val="555555"/>
          <w:sz w:val="26"/>
          <w:szCs w:val="26"/>
        </w:rPr>
        <w:t xml:space="preserve">Project Documentation</w:t>
      </w:r>
    </w:p>
    <w:p>
      <w:pPr>
        <w:spacing w:after="700"/>
        <w:jc w:val="center"/>
      </w:pPr>
      <w:r>
        <w:rPr>
          <w:rFonts w:ascii="Arial" w:cs="Arial" w:eastAsia="Arial" w:hAnsi="Arial"/>
          <w:color w:val="999999"/>
          <w:sz w:val="20"/>
          <w:szCs w:val="20"/>
        </w:rPr>
        <w:t xml:space="preserve">Author: Mane Karapetyan</w:t>
      </w:r>
    </w:p>
    <w:p>
      <w:pPr>
        <w:pStyle w:val="Heading1"/>
        <w:spacing w:after="160" w:before="400"/>
      </w:pPr>
      <w:r>
        <w:rPr>
          <w:rFonts w:ascii="Arial" w:cs="Arial" w:eastAsia="Arial" w:hAnsi="Arial"/>
          <w:b/>
          <w:bCs/>
          <w:color w:val="2E75B6"/>
          <w:sz w:val="30"/>
          <w:szCs w:val="30"/>
        </w:rPr>
        <w:t xml:space="preserve">1. Project Overview</w:t>
      </w:r>
    </w:p>
    <w:p>
      <w:pPr>
        <w:spacing w:after="140"/>
      </w:pPr>
      <w:r>
        <w:rPr>
          <w:rFonts w:ascii="Arial" w:cs="Arial" w:eastAsia="Arial" w:hAnsi="Arial"/>
          <w:sz w:val="22"/>
          <w:szCs w:val="22"/>
        </w:rPr>
        <w:t xml:space="preserve">This project builds a data pipeline that reads clinical trial data from CSV and Excel files, cleans and transforms it in R, and loads the results into a SQL Server database called clindata. The final output is two tables — dm and ex — that follow the SDTM format (Study Data Tabulation Model), a standard used in clinical research for organizing patient-level data in a consistent way.</w:t>
      </w:r>
    </w:p>
    <w:p>
      <w:pPr>
        <w:spacing w:after="140"/>
      </w:pPr>
      <w:r>
        <w:rPr>
          <w:rFonts w:ascii="Arial" w:cs="Arial" w:eastAsia="Arial" w:hAnsi="Arial"/>
          <w:sz w:val="22"/>
          <w:szCs w:val="22"/>
        </w:rPr>
        <w:t xml:space="preserve">The pipeline covers all the core steps of a real ETL process: extracting raw data, transforming it into a clean and standardized form, and loading it into a relational database where it can be queried and analyzed.</w:t>
      </w:r>
    </w:p>
    <w:p>
      <w:pPr>
        <w:spacing w:after="160"/>
      </w:pPr>
    </w:p>
    <w:p>
      <w:pPr>
        <w:pStyle w:val="Heading1"/>
        <w:spacing w:after="160" w:before="400"/>
      </w:pPr>
      <w:r>
        <w:rPr>
          <w:rFonts w:ascii="Arial" w:cs="Arial" w:eastAsia="Arial" w:hAnsi="Arial"/>
          <w:b/>
          <w:bCs/>
          <w:color w:val="2E75B6"/>
          <w:sz w:val="30"/>
          <w:szCs w:val="30"/>
        </w:rPr>
        <w:t xml:space="preserve">2. Data Understanding</w:t>
      </w:r>
    </w:p>
    <w:p>
      <w:pPr>
        <w:pStyle w:val="Heading2"/>
        <w:spacing w:after="120" w:before="260"/>
      </w:pPr>
      <w:r>
        <w:rPr>
          <w:rFonts w:ascii="Arial" w:cs="Arial" w:eastAsia="Arial" w:hAnsi="Arial"/>
          <w:b/>
          <w:bCs/>
          <w:color w:val="1F4E79"/>
          <w:sz w:val="24"/>
          <w:szCs w:val="24"/>
        </w:rPr>
        <w:t xml:space="preserve">2.1 Source Files</w:t>
      </w:r>
    </w:p>
    <w:p>
      <w:pPr>
        <w:spacing w:after="140"/>
      </w:pPr>
      <w:r>
        <w:rPr>
          <w:rFonts w:ascii="Arial" w:cs="Arial" w:eastAsia="Arial" w:hAnsi="Arial"/>
          <w:sz w:val="22"/>
          <w:szCs w:val="22"/>
        </w:rPr>
        <w:t xml:space="preserve">The project uses five source files, each covering a different part of the clinical trial. All files are stored in the data/ folder.</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360"/>
        <w:gridCol w:w="1800"/>
      </w:tblGrid>
      <w:t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contains</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Rows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ICF.csv</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Consent date, patient ID, study ID, withdrawal flag and date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Demo.xlsx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 gender (numeric coded), race checklist columns, ethnicity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Dosing.xlsx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One row per infusion visit — date, time, dose, treatment arm, infusion completion flag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142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elig.xlsx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Eligibility flag, eligibility date, inclusion and exclusion criteria scores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rand.xlsx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Assigned treatment arm (PLACEBO or PEAR14) and randomization date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21</w:t>
            </w:r>
          </w:p>
        </w:tc>
      </w:tr>
    </w:tbl>
    <w:p>
      <w:pPr>
        <w:spacing w:after="160"/>
      </w:pPr>
    </w:p>
    <w:p>
      <w:pPr>
        <w:pStyle w:val="Heading2"/>
        <w:spacing w:after="120" w:before="260"/>
      </w:pPr>
      <w:r>
        <w:rPr>
          <w:rFonts w:ascii="Arial" w:cs="Arial" w:eastAsia="Arial" w:hAnsi="Arial"/>
          <w:b/>
          <w:bCs/>
          <w:color w:val="1F4E79"/>
          <w:sz w:val="24"/>
          <w:szCs w:val="24"/>
        </w:rPr>
        <w:t xml:space="preserve">2.2 Entities and Relationships</w:t>
      </w:r>
    </w:p>
    <w:p>
      <w:pPr>
        <w:spacing w:after="140"/>
      </w:pPr>
      <w:r>
        <w:rPr>
          <w:rFonts w:ascii="Arial" w:cs="Arial" w:eastAsia="Arial" w:hAnsi="Arial"/>
          <w:sz w:val="22"/>
          <w:szCs w:val="22"/>
        </w:rPr>
        <w:t xml:space="preserve">The main entity in this dataset is the patient, identified by a unique patient ID (patid) that appears in every file. This ID is the common key that connects all files together.</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 file</w:t>
            </w:r>
          </w:p>
        </w:tc>
        <w:tc>
          <w:tcPr>
            <w:tcW w:type="dxa" w:w="4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Relationship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Patient (1 per row)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ICF, Demo, rand, elig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One row per patient — joined by patid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Infusion visit (many per patient)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Dosing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Many rows per patient — linked by patid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Treatment assignment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rand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Not all consented patients were randomized (21 of 30)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Eligibility result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elig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One eligibility record per patient</w:t>
            </w:r>
          </w:p>
        </w:tc>
      </w:tr>
    </w:tbl>
    <w:p>
      <w:pPr>
        <w:spacing w:after="160"/>
      </w:pPr>
    </w:p>
    <w:p>
      <w:pPr>
        <w:spacing w:after="140"/>
      </w:pPr>
      <w:r>
        <w:rPr>
          <w:rFonts w:ascii="Arial" w:cs="Arial" w:eastAsia="Arial" w:hAnsi="Arial"/>
          <w:sz w:val="22"/>
          <w:szCs w:val="22"/>
        </w:rPr>
        <w:t xml:space="preserve">The patient ID format (e.g. BRZ02-02092) encodes country (BRZ), site number (02), and subject number (02092) in a single string. The pipeline splits this into separate columns.</w:t>
      </w:r>
    </w:p>
    <w:p>
      <w:pPr>
        <w:spacing w:after="160"/>
      </w:pPr>
    </w:p>
    <w:p>
      <w:pPr>
        <w:pStyle w:val="Heading1"/>
        <w:spacing w:after="160" w:before="400"/>
      </w:pPr>
      <w:r>
        <w:rPr>
          <w:rFonts w:ascii="Arial" w:cs="Arial" w:eastAsia="Arial" w:hAnsi="Arial"/>
          <w:b/>
          <w:bCs/>
          <w:color w:val="2E75B6"/>
          <w:sz w:val="30"/>
          <w:szCs w:val="30"/>
        </w:rPr>
        <w:t xml:space="preserve">3. Database Schema</w:t>
      </w:r>
    </w:p>
    <w:p>
      <w:pPr>
        <w:pStyle w:val="Heading2"/>
        <w:spacing w:after="120" w:before="260"/>
      </w:pPr>
      <w:r>
        <w:rPr>
          <w:rFonts w:ascii="Arial" w:cs="Arial" w:eastAsia="Arial" w:hAnsi="Arial"/>
          <w:b/>
          <w:bCs/>
          <w:color w:val="1F4E79"/>
          <w:sz w:val="24"/>
          <w:szCs w:val="24"/>
        </w:rPr>
        <w:t xml:space="preserve">3.1 Overview</w:t>
      </w:r>
    </w:p>
    <w:p>
      <w:pPr>
        <w:spacing w:after="140"/>
      </w:pPr>
      <w:r>
        <w:rPr>
          <w:rFonts w:ascii="Arial" w:cs="Arial" w:eastAsia="Arial" w:hAnsi="Arial"/>
          <w:sz w:val="22"/>
          <w:szCs w:val="22"/>
        </w:rPr>
        <w:t xml:space="preserve">The database clindata contains two tables: dm (one row per patient) and ex (one row per infusion visit). They are linked by USUBJID as a foreign key, which is the standardized unique subject identifier built from the study ID and patient ID.</w:t>
      </w:r>
    </w:p>
    <w:p>
      <w:pPr>
        <w:spacing w:after="160"/>
      </w:pPr>
    </w:p>
    <w:p>
      <w:pPr>
        <w:pStyle w:val="Heading2"/>
        <w:spacing w:after="120" w:before="260"/>
      </w:pPr>
      <w:r>
        <w:rPr>
          <w:rFonts w:ascii="Arial" w:cs="Arial" w:eastAsia="Arial" w:hAnsi="Arial"/>
          <w:b/>
          <w:bCs/>
          <w:color w:val="1F4E79"/>
          <w:sz w:val="24"/>
          <w:szCs w:val="24"/>
        </w:rPr>
        <w:t xml:space="preserve">3.2 DM Table — Demographics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800"/>
        <w:gridCol w:w="4160"/>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4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STUDYID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VARCHAR(20)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NOT NULL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Study identifier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DOMAIN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VARCHAR(2)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NOT NULL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Always 'DM'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USUBJID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VARCHAR(50)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PRIMARY KEY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Unique subject ID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SUBJID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VARCHAR(20)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NOT NULL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Subject number portion of patid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RFSTDTC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VARCHAR(10)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NULL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First infusion date (ISO 8601)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RFXSTDTC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VARCHAR(10)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NULL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First exposure date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RFICDTC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VARCHAR(10)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NULL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Informed consent date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RFPENDTC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VARCHAR(10)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NULL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Withdrawal date if patient withdrew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SITEID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VARCHAR(10)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NOT NULL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Site number from patid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NULL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 in years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AGEU</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VARCHAR(10)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NULL DEFAULT 'YEARS'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 unit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VARCHAR(20)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NULL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 / F / U / UNDIFFERENTIATED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RACE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VARCHAR(100)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NULL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SDTM race term or MULTIPLE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ETHNIC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VARCHAR(50)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NULL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Hispanic or Not Hispanic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ARMCD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VARCHAR(10)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NULL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Treatment arm code (P or 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ARM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VARCHAR(50)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NULL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Treatment arm name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COUNTRY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VARCHAR(3)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NOT NULL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3-letter country code from patid</w:t>
            </w:r>
          </w:p>
        </w:tc>
      </w:tr>
    </w:tbl>
    <w:p>
      <w:pPr>
        <w:spacing w:after="160"/>
      </w:pPr>
    </w:p>
    <w:p>
      <w:pPr>
        <w:pStyle w:val="Heading2"/>
        <w:spacing w:after="120" w:before="260"/>
      </w:pPr>
      <w:r>
        <w:rPr>
          <w:rFonts w:ascii="Arial" w:cs="Arial" w:eastAsia="Arial" w:hAnsi="Arial"/>
          <w:b/>
          <w:bCs/>
          <w:color w:val="1F4E79"/>
          <w:sz w:val="24"/>
          <w:szCs w:val="24"/>
        </w:rPr>
        <w:t xml:space="preserve">3.3 EX Table — Exposure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800"/>
        <w:gridCol w:w="4160"/>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4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STUDYID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VARCHAR(20)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NOT NULL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Study identifier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DOMAIN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VARCHAR(2)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NOT NULL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Always 'EX'</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USUBJID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VARCHAR(50)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FK -&gt; dm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Links to patient in dm table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EXSEQ</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PK with USUBJID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Visit sequence number per patient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EXTRT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VARCHAR(100)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NULL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Treatment name (PLACEBO or PEAR14)</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EXDOSE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FLOAT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NULL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Numeric dose amount extracted from string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EXDOSEU</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VARCHAR(10)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NULL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Dose unit (ml)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EXADJ</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VARCHAR(500)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NULL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Reason for dose adjustment if any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EXSTDTC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VARCHAR(30)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NULL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Infusion start date and time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EXENDDTC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VARCHAR(30)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NULL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Infusion end date and time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EXSTDY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VARCHAR(20)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NULL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Study day relative to first infusion</w:t>
            </w:r>
          </w:p>
        </w:tc>
      </w:tr>
    </w:tbl>
    <w:p>
      <w:pPr>
        <w:spacing w:after="160"/>
      </w:pPr>
    </w:p>
    <w:p>
      <w:pPr>
        <w:pStyle w:val="Heading2"/>
        <w:spacing w:after="120" w:before="260"/>
      </w:pPr>
      <w:r>
        <w:rPr>
          <w:rFonts w:ascii="Arial" w:cs="Arial" w:eastAsia="Arial" w:hAnsi="Arial"/>
          <w:b/>
          <w:bCs/>
          <w:color w:val="1F4E79"/>
          <w:sz w:val="24"/>
          <w:szCs w:val="24"/>
        </w:rPr>
        <w:t xml:space="preserve">3.4 Indexes</w:t>
      </w:r>
    </w:p>
    <w:p>
      <w:pPr>
        <w:spacing w:after="140"/>
      </w:pPr>
      <w:r>
        <w:rPr>
          <w:rFonts w:ascii="Arial" w:cs="Arial" w:eastAsia="Arial" w:hAnsi="Arial"/>
          <w:sz w:val="22"/>
          <w:szCs w:val="22"/>
        </w:rPr>
        <w:t xml:space="preserve">Indexes are created on columns that are frequently used in queries and joins to keep performance consistent as data grows.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3760"/>
      </w:tblGrid>
      <w:t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Index name</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IX_dm_country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COUNTRY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Group and filter patients by country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IX_dm_arm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ARM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Filter and group by treatment arm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IX_ex_usubjid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USUBJID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Speed up joins between ex and dm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IX_ex_extrt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EXTRT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Filter visits by treatment</w:t>
            </w:r>
          </w:p>
        </w:tc>
      </w:tr>
    </w:tbl>
    <w:p>
      <w:pPr>
        <w:spacing w:after="160"/>
      </w:pPr>
    </w:p>
    <w:p>
      <w:pPr>
        <w:pStyle w:val="Heading1"/>
        <w:spacing w:after="160" w:before="400"/>
      </w:pPr>
      <w:r>
        <w:rPr>
          <w:rFonts w:ascii="Arial" w:cs="Arial" w:eastAsia="Arial" w:hAnsi="Arial"/>
          <w:b/>
          <w:bCs/>
          <w:color w:val="2E75B6"/>
          <w:sz w:val="30"/>
          <w:szCs w:val="30"/>
        </w:rPr>
        <w:t xml:space="preserve">4. R Environment</w:t>
      </w:r>
    </w:p>
    <w:p>
      <w:pPr>
        <w:pStyle w:val="Heading2"/>
        <w:spacing w:after="120" w:before="260"/>
      </w:pPr>
      <w:r>
        <w:rPr>
          <w:rFonts w:ascii="Arial" w:cs="Arial" w:eastAsia="Arial" w:hAnsi="Arial"/>
          <w:b/>
          <w:bCs/>
          <w:color w:val="1F4E79"/>
          <w:sz w:val="24"/>
          <w:szCs w:val="24"/>
        </w:rPr>
        <w:t xml:space="preserve">What is R?</w:t>
      </w:r>
    </w:p>
    <w:p>
      <w:pPr>
        <w:spacing w:after="140"/>
      </w:pPr>
      <w:r>
        <w:rPr>
          <w:rFonts w:ascii="Arial" w:cs="Arial" w:eastAsia="Arial" w:hAnsi="Arial"/>
          <w:sz w:val="22"/>
          <w:szCs w:val="22"/>
        </w:rPr>
        <w:t xml:space="preserve">R is a programming language built for data analysis. It is widely used in research, statistics, and data science because it has a large collection of packages that make working with data fast and practical.</w:t>
      </w:r>
    </w:p>
    <w:p>
      <w:pPr>
        <w:spacing w:after="160"/>
      </w:pPr>
    </w:p>
    <w:p>
      <w:pPr>
        <w:pStyle w:val="Heading2"/>
        <w:spacing w:after="120" w:before="260"/>
      </w:pPr>
      <w:r>
        <w:rPr>
          <w:rFonts w:ascii="Arial" w:cs="Arial" w:eastAsia="Arial" w:hAnsi="Arial"/>
          <w:b/>
          <w:bCs/>
          <w:color w:val="1F4E79"/>
          <w:sz w:val="24"/>
          <w:szCs w:val="24"/>
        </w:rPr>
        <w:t xml:space="preserve">RStudio and renv</w:t>
      </w:r>
    </w:p>
    <w:p>
      <w:pPr>
        <w:spacing w:after="140"/>
      </w:pPr>
      <w:r>
        <w:rPr>
          <w:rFonts w:ascii="Arial" w:cs="Arial" w:eastAsia="Arial" w:hAnsi="Arial"/>
          <w:sz w:val="22"/>
          <w:szCs w:val="22"/>
        </w:rPr>
        <w:t xml:space="preserve">RStudio is the editor used to write and run R code. The project is opened through an .Rproj file which keeps the working directory and settings consistent. renv records the exact version of every package used and saves it to renv.lock — anyone who opens the project and runs renv::restore() gets the same packages installed, which keeps the pipeline reproducible.</w:t>
      </w:r>
    </w:p>
    <w:p>
      <w:pPr>
        <w:spacing w:after="160"/>
      </w:pPr>
    </w:p>
    <w:p>
      <w:pPr>
        <w:pStyle w:val="Heading2"/>
        <w:spacing w:after="120" w:before="260"/>
      </w:pPr>
      <w:r>
        <w:rPr>
          <w:rFonts w:ascii="Arial" w:cs="Arial" w:eastAsia="Arial" w:hAnsi="Arial"/>
          <w:b/>
          <w:bCs/>
          <w:color w:val="1F4E79"/>
          <w:sz w:val="24"/>
          <w:szCs w:val="24"/>
        </w:rPr>
        <w:t xml:space="preserve">Packages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6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readr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Reads CSV files into R as data frames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readxl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Reads Excel (.xlsx) files into 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dplyr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Data manipulation — filtering, renaming, computing new columns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lubridate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Parses and converts date formats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DBI</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Standard interface for connecting R to databases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odbc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Driver that connects DBI to SQL Server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writexl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Writes R data frames to Excel files for review</w:t>
            </w:r>
          </w:p>
        </w:tc>
      </w:tr>
    </w:tbl>
    <w:p>
      <w:pPr>
        <w:spacing w:after="160"/>
      </w:pPr>
    </w:p>
    <w:p>
      <w:pPr>
        <w:pStyle w:val="Heading1"/>
        <w:spacing w:after="160" w:before="400"/>
      </w:pPr>
      <w:r>
        <w:rPr>
          <w:rFonts w:ascii="Arial" w:cs="Arial" w:eastAsia="Arial" w:hAnsi="Arial"/>
          <w:b/>
          <w:bCs/>
          <w:color w:val="2E75B6"/>
          <w:sz w:val="30"/>
          <w:szCs w:val="30"/>
        </w:rPr>
        <w:t xml:space="preserve">5. Data Cleaning and Transformation</w:t>
      </w:r>
    </w:p>
    <w:p>
      <w:pPr>
        <w:spacing w:after="140"/>
      </w:pPr>
      <w:r>
        <w:rPr>
          <w:rFonts w:ascii="Arial" w:cs="Arial" w:eastAsia="Arial" w:hAnsi="Arial"/>
          <w:sz w:val="22"/>
          <w:szCs w:val="22"/>
        </w:rPr>
        <w:t xml:space="preserve">All cleaning and transformation happens in R before anything is written to the database. Below is a full description of every step applied.</w:t>
      </w:r>
    </w:p>
    <w:p>
      <w:pPr>
        <w:spacing w:after="160"/>
      </w:pPr>
    </w:p>
    <w:p>
      <w:pPr>
        <w:pStyle w:val="Heading2"/>
        <w:spacing w:after="120" w:before="260"/>
      </w:pPr>
      <w:r>
        <w:rPr>
          <w:rFonts w:ascii="Arial" w:cs="Arial" w:eastAsia="Arial" w:hAnsi="Arial"/>
          <w:b/>
          <w:bCs/>
          <w:color w:val="1F4E79"/>
          <w:sz w:val="24"/>
          <w:szCs w:val="24"/>
        </w:rPr>
        <w:t xml:space="preserve">Patient ID Splitting</w:t>
      </w:r>
    </w:p>
    <w:p>
      <w:pPr>
        <w:spacing w:after="140"/>
      </w:pPr>
      <w:r>
        <w:rPr>
          <w:rFonts w:ascii="Arial" w:cs="Arial" w:eastAsia="Arial" w:hAnsi="Arial"/>
          <w:sz w:val="22"/>
          <w:szCs w:val="22"/>
        </w:rPr>
        <w:t xml:space="preserve">Each patient has a single ID like BRZ02-02092 that encodes country, site, and subject number. The pipeline uses substring operations to extract each piece into its own column: the first 3 characters become COUNTRY, characters 4-5 become SITEID, and characters 7 onward become SUBJID. USUBJID is built by concatenating the study ID with the site and subject portion.</w:t>
      </w:r>
    </w:p>
    <w:p>
      <w:pPr>
        <w:spacing w:after="160"/>
      </w:pPr>
    </w:p>
    <w:p>
      <w:pPr>
        <w:pStyle w:val="Heading2"/>
        <w:spacing w:after="120" w:before="260"/>
      </w:pPr>
      <w:r>
        <w:rPr>
          <w:rFonts w:ascii="Arial" w:cs="Arial" w:eastAsia="Arial" w:hAnsi="Arial"/>
          <w:b/>
          <w:bCs/>
          <w:color w:val="1F4E79"/>
          <w:sz w:val="24"/>
          <w:szCs w:val="24"/>
        </w:rPr>
        <w:t xml:space="preserve">Date Standardization</w:t>
      </w:r>
    </w:p>
    <w:p>
      <w:pPr>
        <w:spacing w:after="140"/>
      </w:pPr>
      <w:r>
        <w:rPr>
          <w:rFonts w:ascii="Arial" w:cs="Arial" w:eastAsia="Arial" w:hAnsi="Arial"/>
          <w:sz w:val="22"/>
          <w:szCs w:val="22"/>
        </w:rPr>
        <w:t xml:space="preserve">Two different date formats were present across source files. Consent and eligibility dates were stored as text in day-month-year format (e.g. 17-Jan-18) and were parsed with lubridate::dmy() then formatted as YYYY-MM-DD. Dosing dates were stored as POSIXct UTC timestamps and were converted directly with as.Date() without reparsing. Infusion start and end times were combined with the date to produce a single datetime string (e.g. 2018-01-17 08:32).</w:t>
      </w:r>
    </w:p>
    <w:p>
      <w:pPr>
        <w:spacing w:after="160"/>
      </w:pPr>
    </w:p>
    <w:p>
      <w:pPr>
        <w:pStyle w:val="Heading2"/>
        <w:spacing w:after="120" w:before="260"/>
      </w:pPr>
      <w:r>
        <w:rPr>
          <w:rFonts w:ascii="Arial" w:cs="Arial" w:eastAsia="Arial" w:hAnsi="Arial"/>
          <w:b/>
          <w:bCs/>
          <w:color w:val="1F4E79"/>
          <w:sz w:val="24"/>
          <w:szCs w:val="24"/>
        </w:rPr>
        <w:t xml:space="preserve">Gender and Ethnicity Mapping</w:t>
      </w:r>
    </w:p>
    <w:p>
      <w:pPr>
        <w:spacing w:after="140"/>
      </w:pPr>
      <w:r>
        <w:rPr>
          <w:rFonts w:ascii="Arial" w:cs="Arial" w:eastAsia="Arial" w:hAnsi="Arial"/>
          <w:sz w:val="22"/>
          <w:szCs w:val="22"/>
        </w:rPr>
        <w:t xml:space="preserve">Both columns were stored as numeric codes. Gender was mapped as: 1 = M, 2 = F, 99 = U, 0 = UNDIFFERENTIATED. Ethnicity was mapped as: 1 = HISPANIC OR LATINO, all other values = NOT HISPANIC OR LATINO.</w:t>
      </w:r>
    </w:p>
    <w:p>
      <w:pPr>
        <w:spacing w:after="160"/>
      </w:pPr>
    </w:p>
    <w:p>
      <w:pPr>
        <w:pStyle w:val="Heading2"/>
        <w:spacing w:after="120" w:before="260"/>
      </w:pPr>
      <w:r>
        <w:rPr>
          <w:rFonts w:ascii="Arial" w:cs="Arial" w:eastAsia="Arial" w:hAnsi="Arial"/>
          <w:b/>
          <w:bCs/>
          <w:color w:val="1F4E79"/>
          <w:sz w:val="24"/>
          <w:szCs w:val="24"/>
        </w:rPr>
        <w:t xml:space="preserve">Race Derivation from Checklist</w:t>
      </w:r>
    </w:p>
    <w:p>
      <w:pPr>
        <w:spacing w:after="140"/>
      </w:pPr>
      <w:r>
        <w:rPr>
          <w:rFonts w:ascii="Arial" w:cs="Arial" w:eastAsia="Arial" w:hAnsi="Arial"/>
          <w:sz w:val="22"/>
          <w:szCs w:val="22"/>
        </w:rPr>
        <w:t xml:space="preserve">Race was collected as a multi-column checklist — one binary column per race option (caucas, black, indian, asian, hawaian, unk, oth) with 1 meaning selected and 0 meaning not selected. The derivation logic: if more than one column has a 1, RACE = MULTIPLE. If exactly one column has a 1, RACE is set to the corresponding SDTM term (e.g. caucas = WHITE, hawaian = NATIVE HAWAIIAN OR OTHER PACIFIC ISLANDER). If nothing is checked, RACE is left null.</w:t>
      </w:r>
    </w:p>
    <w:p>
      <w:pPr>
        <w:spacing w:after="160"/>
      </w:pPr>
    </w:p>
    <w:p>
      <w:pPr>
        <w:pStyle w:val="Heading2"/>
        <w:spacing w:after="120" w:before="260"/>
      </w:pPr>
      <w:r>
        <w:rPr>
          <w:rFonts w:ascii="Arial" w:cs="Arial" w:eastAsia="Arial" w:hAnsi="Arial"/>
          <w:b/>
          <w:bCs/>
          <w:color w:val="1F4E79"/>
          <w:sz w:val="24"/>
          <w:szCs w:val="24"/>
        </w:rPr>
        <w:t xml:space="preserve">Dose Extraction</w:t>
      </w:r>
    </w:p>
    <w:p>
      <w:pPr>
        <w:spacing w:after="140"/>
      </w:pPr>
      <w:r>
        <w:rPr>
          <w:rFonts w:ascii="Arial" w:cs="Arial" w:eastAsia="Arial" w:hAnsi="Arial"/>
          <w:sz w:val="22"/>
          <w:szCs w:val="22"/>
        </w:rPr>
        <w:t xml:space="preserve">The dose column stored values as strings combining a number and a unit (e.g. 100ml, 0ml). The numeric part was extracted using a regular expression that removes all non-numeric characters, then cast to float. The unit ml is stored separately in EXDOSEU for all non-null rows.</w:t>
      </w:r>
    </w:p>
    <w:p>
      <w:pPr>
        <w:spacing w:after="160"/>
      </w:pPr>
    </w:p>
    <w:p>
      <w:pPr>
        <w:pStyle w:val="Heading2"/>
        <w:spacing w:after="120" w:before="260"/>
      </w:pPr>
      <w:r>
        <w:rPr>
          <w:rFonts w:ascii="Arial" w:cs="Arial" w:eastAsia="Arial" w:hAnsi="Arial"/>
          <w:b/>
          <w:bCs/>
          <w:color w:val="1F4E79"/>
          <w:sz w:val="24"/>
          <w:szCs w:val="24"/>
        </w:rPr>
        <w:t xml:space="preserve">Study Day Calculation</w:t>
      </w:r>
    </w:p>
    <w:p>
      <w:pPr>
        <w:spacing w:after="140"/>
      </w:pPr>
      <w:r>
        <w:rPr>
          <w:rFonts w:ascii="Arial" w:cs="Arial" w:eastAsia="Arial" w:hAnsi="Arial"/>
          <w:sz w:val="22"/>
          <w:szCs w:val="22"/>
        </w:rPr>
        <w:t xml:space="preserve">Each infusion visit is assigned a study day relative to the patient's first infusion date. The minimum infusion date per patient is calculated first using an aggregate. Then each visit's day is computed as (visit date - first dose date) + 1, making the first infusion Day 1.</w:t>
      </w:r>
    </w:p>
    <w:p>
      <w:pPr>
        <w:spacing w:after="160"/>
      </w:pPr>
    </w:p>
    <w:p>
      <w:pPr>
        <w:pStyle w:val="Heading2"/>
        <w:spacing w:after="120" w:before="260"/>
      </w:pPr>
      <w:r>
        <w:rPr>
          <w:rFonts w:ascii="Arial" w:cs="Arial" w:eastAsia="Arial" w:hAnsi="Arial"/>
          <w:b/>
          <w:bCs/>
          <w:color w:val="1F4E79"/>
          <w:sz w:val="24"/>
          <w:szCs w:val="24"/>
        </w:rPr>
        <w:t xml:space="preserve">Row Count Differences Between Files</w:t>
      </w:r>
    </w:p>
    <w:p>
      <w:pPr>
        <w:spacing w:after="140"/>
      </w:pPr>
      <w:r>
        <w:rPr>
          <w:rFonts w:ascii="Arial" w:cs="Arial" w:eastAsia="Arial" w:hAnsi="Arial"/>
          <w:sz w:val="22"/>
          <w:szCs w:val="22"/>
        </w:rPr>
        <w:t xml:space="preserve">ICF and Demo have 30 rows (one per patient). Dosing has 142 rows because patients had multiple infusion visits. Rand has only 21 rows because not all consented patients were randomized. All joins in DM.R use ICF as the anchor table with a left join, so the DM domain always has exactly 30 rows. EX keeps all 142 dosing rows since it represents visit-level data.</w:t>
      </w:r>
    </w:p>
    <w:p>
      <w:pPr>
        <w:spacing w:after="160"/>
      </w:pPr>
    </w:p>
    <w:p>
      <w:pPr>
        <w:pStyle w:val="Heading2"/>
        <w:spacing w:after="120" w:before="260"/>
      </w:pPr>
      <w:r>
        <w:rPr>
          <w:rFonts w:ascii="Arial" w:cs="Arial" w:eastAsia="Arial" w:hAnsi="Arial"/>
          <w:b/>
          <w:bCs/>
          <w:color w:val="1F4E79"/>
          <w:sz w:val="24"/>
          <w:szCs w:val="24"/>
        </w:rPr>
        <w:t xml:space="preserve">Missing Values</w:t>
      </w:r>
    </w:p>
    <w:p>
      <w:pPr>
        <w:spacing w:after="140"/>
      </w:pPr>
      <w:r>
        <w:rPr>
          <w:rFonts w:ascii="Arial" w:cs="Arial" w:eastAsia="Arial" w:hAnsi="Arial"/>
          <w:sz w:val="22"/>
          <w:szCs w:val="22"/>
        </w:rPr>
        <w:t xml:space="preserve">Columns with no source data (DTHDTC, DTHFL, ACTARMCD, ACTARM, ARMNRS, ACTARMUD, RFENDTC, RFXENDTC) are set to NA in R and stored as NULL in the database. Patients not in the rand file receive NULL for ARM and ARMCD since they were not randomized.</w:t>
      </w:r>
    </w:p>
    <w:p>
      <w:pPr>
        <w:spacing w:after="160"/>
      </w:pPr>
    </w:p>
    <w:p>
      <w:pPr>
        <w:pStyle w:val="Heading1"/>
        <w:spacing w:after="160" w:before="400"/>
      </w:pPr>
      <w:r>
        <w:rPr>
          <w:rFonts w:ascii="Arial" w:cs="Arial" w:eastAsia="Arial" w:hAnsi="Arial"/>
          <w:b/>
          <w:bCs/>
          <w:color w:val="2E75B6"/>
          <w:sz w:val="30"/>
          <w:szCs w:val="30"/>
        </w:rPr>
        <w:t xml:space="preserve">6. Pipeline Description</w:t>
      </w:r>
    </w:p>
    <w:p>
      <w:pPr>
        <w:pStyle w:val="Heading2"/>
        <w:spacing w:after="120" w:before="260"/>
      </w:pPr>
      <w:r>
        <w:rPr>
          <w:rFonts w:ascii="Arial" w:cs="Arial" w:eastAsia="Arial" w:hAnsi="Arial"/>
          <w:b/>
          <w:bCs/>
          <w:color w:val="1F4E79"/>
          <w:sz w:val="24"/>
          <w:szCs w:val="24"/>
        </w:rPr>
        <w:t xml:space="preserve">Step 1 — DM.R</w:t>
      </w:r>
    </w:p>
    <w:p>
      <w:pPr>
        <w:spacing w:after="140"/>
      </w:pPr>
      <w:r>
        <w:rPr>
          <w:rFonts w:ascii="Arial" w:cs="Arial" w:eastAsia="Arial" w:hAnsi="Arial"/>
          <w:sz w:val="22"/>
          <w:szCs w:val="22"/>
        </w:rPr>
        <w:t xml:space="preserve">Reads ICF.csv, Demo.xlsx, Dosing.xlsx, and rand.xlsx. Filters dosing to one row per patient (earliest infusion date) using a left join and deduplication. Joins all files by patid. Applies all cleaning and mapping. Produces the dm data frame with 30 rows and saves dm.xlsx.</w:t>
      </w:r>
    </w:p>
    <w:p>
      <w:pPr>
        <w:spacing w:after="160"/>
      </w:pPr>
    </w:p>
    <w:p>
      <w:pPr>
        <w:pStyle w:val="Heading2"/>
        <w:spacing w:after="120" w:before="260"/>
      </w:pPr>
      <w:r>
        <w:rPr>
          <w:rFonts w:ascii="Arial" w:cs="Arial" w:eastAsia="Arial" w:hAnsi="Arial"/>
          <w:b/>
          <w:bCs/>
          <w:color w:val="1F4E79"/>
          <w:sz w:val="24"/>
          <w:szCs w:val="24"/>
        </w:rPr>
        <w:t xml:space="preserve">Step 2 — EX.R</w:t>
      </w:r>
    </w:p>
    <w:p>
      <w:pPr>
        <w:spacing w:after="140"/>
      </w:pPr>
      <w:r>
        <w:rPr>
          <w:rFonts w:ascii="Arial" w:cs="Arial" w:eastAsia="Arial" w:hAnsi="Arial"/>
          <w:sz w:val="22"/>
          <w:szCs w:val="22"/>
        </w:rPr>
        <w:t xml:space="preserve">Reads Dosing.xlsx. Calculates the first infusion date per patient using aggregate(). Joins this back to the full dosing data. Assigns a sequence number to each visit. Extracts numeric dose and builds start and end datetime columns. Calculates study day. Produces the ex data frame with 142 rows and saves ex.xlsx.</w:t>
      </w:r>
    </w:p>
    <w:p>
      <w:pPr>
        <w:spacing w:after="160"/>
      </w:pPr>
    </w:p>
    <w:p>
      <w:pPr>
        <w:pStyle w:val="Heading2"/>
        <w:spacing w:after="120" w:before="260"/>
      </w:pPr>
      <w:r>
        <w:rPr>
          <w:rFonts w:ascii="Arial" w:cs="Arial" w:eastAsia="Arial" w:hAnsi="Arial"/>
          <w:b/>
          <w:bCs/>
          <w:color w:val="1F4E79"/>
          <w:sz w:val="24"/>
          <w:szCs w:val="24"/>
        </w:rPr>
        <w:t xml:space="preserve">Step 3 — schema.sql</w:t>
      </w:r>
    </w:p>
    <w:p>
      <w:pPr>
        <w:spacing w:after="140"/>
      </w:pPr>
      <w:r>
        <w:rPr>
          <w:rFonts w:ascii="Arial" w:cs="Arial" w:eastAsia="Arial" w:hAnsi="Arial"/>
          <w:sz w:val="22"/>
          <w:szCs w:val="22"/>
        </w:rPr>
        <w:t xml:space="preserve">Run once in SSMS before pushing data. Creates the clindata database if it does not exist. Drops and recreates the dm and ex tables with all columns, data types, constraints, primary keys, foreign key, and indexes. This ensures the table structure is clean and correct before data is loaded.</w:t>
      </w:r>
    </w:p>
    <w:p>
      <w:pPr>
        <w:spacing w:after="160"/>
      </w:pPr>
    </w:p>
    <w:p>
      <w:pPr>
        <w:pStyle w:val="Heading2"/>
        <w:spacing w:after="120" w:before="260"/>
      </w:pPr>
      <w:r>
        <w:rPr>
          <w:rFonts w:ascii="Arial" w:cs="Arial" w:eastAsia="Arial" w:hAnsi="Arial"/>
          <w:b/>
          <w:bCs/>
          <w:color w:val="1F4E79"/>
          <w:sz w:val="24"/>
          <w:szCs w:val="24"/>
        </w:rPr>
        <w:t xml:space="preserve">Step 4 — push_to_db.R</w:t>
      </w:r>
    </w:p>
    <w:p>
      <w:pPr>
        <w:spacing w:after="140"/>
      </w:pPr>
      <w:r>
        <w:rPr>
          <w:rFonts w:ascii="Arial" w:cs="Arial" w:eastAsia="Arial" w:hAnsi="Arial"/>
          <w:sz w:val="22"/>
          <w:szCs w:val="22"/>
        </w:rPr>
        <w:t xml:space="preserve">Connects to SQL Server on localhost using Windows authentication via DBI and odbc. Checks whether dm and ex already exist before writing. If they do not exist, it creates and loads them. If they already exist, it skips and prints a message. This prevents accidental overwrites.</w:t>
      </w:r>
    </w:p>
    <w:p>
      <w:pPr>
        <w:spacing w:after="160"/>
      </w:pPr>
    </w:p>
    <w:p>
      <w:pPr>
        <w:pStyle w:val="Heading2"/>
        <w:spacing w:after="120" w:before="260"/>
      </w:pPr>
      <w:r>
        <w:rPr>
          <w:rFonts w:ascii="Arial" w:cs="Arial" w:eastAsia="Arial" w:hAnsi="Arial"/>
          <w:b/>
          <w:bCs/>
          <w:color w:val="1F4E79"/>
          <w:sz w:val="24"/>
          <w:szCs w:val="24"/>
        </w:rPr>
        <w:t xml:space="preserve">Step 5 — queries.sql</w:t>
      </w:r>
    </w:p>
    <w:p>
      <w:pPr>
        <w:spacing w:after="140"/>
      </w:pPr>
      <w:r>
        <w:rPr>
          <w:rFonts w:ascii="Arial" w:cs="Arial" w:eastAsia="Arial" w:hAnsi="Arial"/>
          <w:sz w:val="22"/>
          <w:szCs w:val="22"/>
        </w:rPr>
        <w:t xml:space="preserve">Run in SSMS after the tables are loaded. Contains queries organized into sections: summary statistics, simple counts and breakdowns, top and bottom patients, trend analysis (enrollment by month and dose adjustments over time), subqueries, CTEs, multi-table joins, and window functions.</w:t>
      </w:r>
    </w:p>
    <w:p>
      <w:pPr>
        <w:spacing w:after="160"/>
      </w:pPr>
    </w:p>
    <w:p>
      <w:pPr>
        <w:pStyle w:val="Heading2"/>
        <w:spacing w:after="120" w:before="260"/>
      </w:pPr>
      <w:r>
        <w:rPr>
          <w:rFonts w:ascii="Arial" w:cs="Arial" w:eastAsia="Arial" w:hAnsi="Arial"/>
          <w:b/>
          <w:bCs/>
          <w:color w:val="1F4E79"/>
          <w:sz w:val="24"/>
          <w:szCs w:val="24"/>
        </w:rPr>
        <w:t xml:space="preserve">How to Run</w:t>
      </w:r>
    </w:p>
    <w:p>
      <w:pPr>
        <w:pStyle w:val="ListParagraph"/>
        <w:numPr>
          <w:ilvl w:val="0"/>
          <w:numId w:val="2"/>
        </w:numPr>
        <w:spacing w:after="80"/>
      </w:pPr>
      <w:r>
        <w:rPr>
          <w:rFonts w:ascii="Arial" w:cs="Arial" w:eastAsia="Arial" w:hAnsi="Arial"/>
          <w:sz w:val="22"/>
          <w:szCs w:val="22"/>
        </w:rPr>
        <w:t xml:space="preserve">Open the project in RStudio by double-clicking the .Rproj file</w:t>
      </w:r>
    </w:p>
    <w:p>
      <w:pPr>
        <w:pStyle w:val="ListParagraph"/>
        <w:numPr>
          <w:ilvl w:val="0"/>
          <w:numId w:val="2"/>
        </w:numPr>
        <w:spacing w:after="80"/>
      </w:pPr>
      <w:r>
        <w:rPr>
          <w:rFonts w:ascii="Arial" w:cs="Arial" w:eastAsia="Arial" w:hAnsi="Arial"/>
          <w:sz w:val="22"/>
          <w:szCs w:val="22"/>
        </w:rPr>
        <w:t xml:space="preserve">Run renv::restore() to install required packages</w:t>
      </w:r>
    </w:p>
    <w:p>
      <w:pPr>
        <w:pStyle w:val="ListParagraph"/>
        <w:numPr>
          <w:ilvl w:val="0"/>
          <w:numId w:val="2"/>
        </w:numPr>
        <w:spacing w:after="80"/>
      </w:pPr>
      <w:r>
        <w:rPr>
          <w:rFonts w:ascii="Arial" w:cs="Arial" w:eastAsia="Arial" w:hAnsi="Arial"/>
          <w:sz w:val="22"/>
          <w:szCs w:val="22"/>
        </w:rPr>
        <w:t xml:space="preserve">Run schema.sql in SSMS to create the database and table structure</w:t>
      </w:r>
    </w:p>
    <w:p>
      <w:pPr>
        <w:pStyle w:val="ListParagraph"/>
        <w:numPr>
          <w:ilvl w:val="0"/>
          <w:numId w:val="2"/>
        </w:numPr>
        <w:spacing w:after="80"/>
      </w:pPr>
      <w:r>
        <w:rPr>
          <w:rFonts w:ascii="Arial" w:cs="Arial" w:eastAsia="Arial" w:hAnsi="Arial"/>
          <w:sz w:val="22"/>
          <w:szCs w:val="22"/>
        </w:rPr>
        <w:t xml:space="preserve">Run DM.R in RStudio</w:t>
      </w:r>
    </w:p>
    <w:p>
      <w:pPr>
        <w:pStyle w:val="ListParagraph"/>
        <w:numPr>
          <w:ilvl w:val="0"/>
          <w:numId w:val="2"/>
        </w:numPr>
        <w:spacing w:after="80"/>
      </w:pPr>
      <w:r>
        <w:rPr>
          <w:rFonts w:ascii="Arial" w:cs="Arial" w:eastAsia="Arial" w:hAnsi="Arial"/>
          <w:sz w:val="22"/>
          <w:szCs w:val="22"/>
        </w:rPr>
        <w:t xml:space="preserve">Run EX.R in RStudio</w:t>
      </w:r>
    </w:p>
    <w:p>
      <w:pPr>
        <w:pStyle w:val="ListParagraph"/>
        <w:numPr>
          <w:ilvl w:val="0"/>
          <w:numId w:val="2"/>
        </w:numPr>
        <w:spacing w:after="80"/>
      </w:pPr>
      <w:r>
        <w:rPr>
          <w:rFonts w:ascii="Arial" w:cs="Arial" w:eastAsia="Arial" w:hAnsi="Arial"/>
          <w:sz w:val="22"/>
          <w:szCs w:val="22"/>
        </w:rPr>
        <w:t xml:space="preserve">Run push_to_db.R in RStudio to load the data into SQL Server</w:t>
      </w:r>
    </w:p>
    <w:p>
      <w:pPr>
        <w:pStyle w:val="ListParagraph"/>
        <w:numPr>
          <w:ilvl w:val="0"/>
          <w:numId w:val="2"/>
        </w:numPr>
        <w:spacing w:after="80"/>
      </w:pPr>
      <w:r>
        <w:rPr>
          <w:rFonts w:ascii="Arial" w:cs="Arial" w:eastAsia="Arial" w:hAnsi="Arial"/>
          <w:sz w:val="22"/>
          <w:szCs w:val="22"/>
        </w:rPr>
        <w:t xml:space="preserve">Open queries.sql in SSMS and run queries against clindata</w:t>
      </w:r>
    </w:p>
    <w:p>
      <w:pPr>
        <w:spacing w:after="160"/>
      </w:pPr>
    </w:p>
    <w:p>
      <w:pPr>
        <w:pStyle w:val="Heading1"/>
        <w:spacing w:after="160" w:before="400"/>
      </w:pPr>
      <w:r>
        <w:rPr>
          <w:rFonts w:ascii="Arial" w:cs="Arial" w:eastAsia="Arial" w:hAnsi="Arial"/>
          <w:b/>
          <w:bCs/>
          <w:color w:val="2E75B6"/>
          <w:sz w:val="30"/>
          <w:szCs w:val="30"/>
        </w:rPr>
        <w:t xml:space="preserve">7. SQL Analysis — Key Insights</w:t>
      </w:r>
    </w:p>
    <w:p>
      <w:pPr>
        <w:spacing w:after="140"/>
      </w:pPr>
      <w:r>
        <w:rPr>
          <w:rFonts w:ascii="Arial" w:cs="Arial" w:eastAsia="Arial" w:hAnsi="Arial"/>
          <w:sz w:val="22"/>
          <w:szCs w:val="22"/>
        </w:rPr>
        <w:t xml:space="preserve">The following is a summary of what the queries reveal about the data.</w:t>
      </w:r>
    </w:p>
    <w:p>
      <w:pPr>
        <w:spacing w:after="160"/>
      </w:pPr>
    </w:p>
    <w:p>
      <w:pPr>
        <w:pStyle w:val="Heading2"/>
        <w:spacing w:after="120" w:before="260"/>
      </w:pPr>
      <w:r>
        <w:rPr>
          <w:rFonts w:ascii="Arial" w:cs="Arial" w:eastAsia="Arial" w:hAnsi="Arial"/>
          <w:b/>
          <w:bCs/>
          <w:color w:val="1F4E79"/>
          <w:sz w:val="24"/>
          <w:szCs w:val="24"/>
        </w:rPr>
        <w:t xml:space="preserve">Patient Demographics</w:t>
      </w:r>
    </w:p>
    <w:p>
      <w:pPr>
        <w:spacing w:after="140"/>
      </w:pPr>
      <w:r>
        <w:rPr>
          <w:rFonts w:ascii="Arial" w:cs="Arial" w:eastAsia="Arial" w:hAnsi="Arial"/>
          <w:sz w:val="22"/>
          <w:szCs w:val="22"/>
        </w:rPr>
        <w:t xml:space="preserve">30 patients were enrolled across several countries. The treatment was split between PLACEBO and PEAR14 arms. Patients ranged in age and came from diverse racial and ethnic backgrounds. A small number of patients withdrew from the study, identifiable by a non-null withdrawal date.</w:t>
      </w:r>
    </w:p>
    <w:p>
      <w:pPr>
        <w:spacing w:after="160"/>
      </w:pPr>
    </w:p>
    <w:p>
      <w:pPr>
        <w:pStyle w:val="Heading2"/>
        <w:spacing w:after="120" w:before="260"/>
      </w:pPr>
      <w:r>
        <w:rPr>
          <w:rFonts w:ascii="Arial" w:cs="Arial" w:eastAsia="Arial" w:hAnsi="Arial"/>
          <w:b/>
          <w:bCs/>
          <w:color w:val="1F4E79"/>
          <w:sz w:val="24"/>
          <w:szCs w:val="24"/>
        </w:rPr>
        <w:t xml:space="preserve">Infusion Visits</w:t>
      </w:r>
    </w:p>
    <w:p>
      <w:pPr>
        <w:spacing w:after="140"/>
      </w:pPr>
      <w:r>
        <w:rPr>
          <w:rFonts w:ascii="Arial" w:cs="Arial" w:eastAsia="Arial" w:hAnsi="Arial"/>
          <w:sz w:val="22"/>
          <w:szCs w:val="22"/>
        </w:rPr>
        <w:t xml:space="preserve">142 infusion visits were recorded in total. Most patients completed multiple visits, with some completing more than the average. A small number of visits involved dose adjustments, with the adjustment reason recorded in EXADJ.</w:t>
      </w:r>
    </w:p>
    <w:p>
      <w:pPr>
        <w:spacing w:after="160"/>
      </w:pPr>
    </w:p>
    <w:p>
      <w:pPr>
        <w:pStyle w:val="Heading2"/>
        <w:spacing w:after="120" w:before="260"/>
      </w:pPr>
      <w:r>
        <w:rPr>
          <w:rFonts w:ascii="Arial" w:cs="Arial" w:eastAsia="Arial" w:hAnsi="Arial"/>
          <w:b/>
          <w:bCs/>
          <w:color w:val="1F4E79"/>
          <w:sz w:val="24"/>
          <w:szCs w:val="24"/>
        </w:rPr>
        <w:t xml:space="preserve">Enrollment Trend</w:t>
      </w:r>
    </w:p>
    <w:p>
      <w:pPr>
        <w:spacing w:after="140"/>
      </w:pPr>
      <w:r>
        <w:rPr>
          <w:rFonts w:ascii="Arial" w:cs="Arial" w:eastAsia="Arial" w:hAnsi="Arial"/>
          <w:sz w:val="22"/>
          <w:szCs w:val="22"/>
        </w:rPr>
        <w:t xml:space="preserve">Grouping patients by the month of their consent date shows how enrollment progressed over time. This gives a picture of how quickly patients were recruited into the trial.</w:t>
      </w:r>
    </w:p>
    <w:p>
      <w:pPr>
        <w:spacing w:after="160"/>
      </w:pPr>
    </w:p>
    <w:p>
      <w:pPr>
        <w:pStyle w:val="Heading2"/>
        <w:spacing w:after="120" w:before="260"/>
      </w:pPr>
      <w:r>
        <w:rPr>
          <w:rFonts w:ascii="Arial" w:cs="Arial" w:eastAsia="Arial" w:hAnsi="Arial"/>
          <w:b/>
          <w:bCs/>
          <w:color w:val="1F4E79"/>
          <w:sz w:val="24"/>
          <w:szCs w:val="24"/>
        </w:rPr>
        <w:t xml:space="preserve">Dose Adjustments Over Time</w:t>
      </w:r>
    </w:p>
    <w:p>
      <w:pPr>
        <w:spacing w:after="140"/>
      </w:pPr>
      <w:r>
        <w:rPr>
          <w:rFonts w:ascii="Arial" w:cs="Arial" w:eastAsia="Arial" w:hAnsi="Arial"/>
          <w:sz w:val="22"/>
          <w:szCs w:val="22"/>
        </w:rPr>
        <w:t xml:space="preserve">Splitting visits into early (Day 1-50) and late (Day 50+) and comparing adjustment rates shows whether dose changes were more common at the start of treatment or after extended exposure.</w:t>
      </w:r>
    </w:p>
    <w:p>
      <w:pPr>
        <w:spacing w:after="160"/>
      </w:pPr>
    </w:p>
    <w:p>
      <w:pPr>
        <w:pStyle w:val="Heading2"/>
        <w:spacing w:after="120" w:before="260"/>
      </w:pPr>
      <w:r>
        <w:rPr>
          <w:rFonts w:ascii="Arial" w:cs="Arial" w:eastAsia="Arial" w:hAnsi="Arial"/>
          <w:b/>
          <w:bCs/>
          <w:color w:val="1F4E79"/>
          <w:sz w:val="24"/>
          <w:szCs w:val="24"/>
        </w:rPr>
        <w:t xml:space="preserve">Window Function Insights</w:t>
      </w:r>
    </w:p>
    <w:p>
      <w:pPr>
        <w:spacing w:after="140"/>
      </w:pPr>
      <w:r>
        <w:rPr>
          <w:rFonts w:ascii="Arial" w:cs="Arial" w:eastAsia="Arial" w:hAnsi="Arial"/>
          <w:sz w:val="22"/>
          <w:szCs w:val="22"/>
        </w:rPr>
        <w:t xml:space="preserve">Using RANK() and running totals with window functions allows ranking patients within each country by age, tracking cumulative visits per patient over time, and comparing individual patient visit counts against the overall average without needing a subquery for every comparison.</w:t>
      </w:r>
    </w:p>
    <w:p>
      <w:pPr>
        <w:spacing w:after="16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2E75B6"/>
      <w:sz w:val="30"/>
      <w:szCs w:val="30"/>
    </w:rPr>
  </w:style>
  <w:style w:type="paragraph" w:styleId="Heading2">
    <w:name w:val="Heading 2"/>
    <w:basedOn w:val="Normal"/>
    <w:next w:val="Normal"/>
    <w:qFormat/>
    <w:pPr>
      <w:spacing w:after="120" w:before="26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2026-05-12T10:41:47.329Z</dcterms:created>
  <dcterms:modified xsi:type="dcterms:W3CDTF">2026-05-12T10:41:47.349Z</dcterms:modified>
</cp:coreProperties>
</file>

<file path=docProps/custom.xml><?xml version="1.0" encoding="utf-8"?>
<Properties xmlns="http://schemas.openxmlformats.org/officeDocument/2006/custom-properties" xmlns:vt="http://schemas.openxmlformats.org/officeDocument/2006/docPropsVTypes"/>
</file>