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96D47" w14:textId="77777777" w:rsidR="00AB1FF5" w:rsidRPr="0010123D" w:rsidRDefault="0042422F" w:rsidP="00BE2A69">
      <w:pPr>
        <w:pStyle w:val="Titre"/>
        <w:jc w:val="center"/>
        <w:rPr>
          <w:sz w:val="40"/>
          <w:szCs w:val="40"/>
          <w:lang w:val="fr-FR"/>
        </w:rPr>
      </w:pPr>
      <w:r w:rsidRPr="0010123D">
        <w:rPr>
          <w:sz w:val="40"/>
          <w:szCs w:val="40"/>
          <w:lang w:val="fr-FR"/>
        </w:rPr>
        <w:t>FICHE CONTEXTE INTERNE (FCI)</w:t>
      </w:r>
    </w:p>
    <w:p w14:paraId="60422AC9" w14:textId="77777777" w:rsidR="00AB1FF5" w:rsidRPr="0010123D" w:rsidRDefault="0042422F">
      <w:pPr>
        <w:spacing w:after="160"/>
        <w:jc w:val="center"/>
        <w:rPr>
          <w:lang w:val="fr-FR"/>
        </w:rPr>
      </w:pPr>
      <w:r w:rsidRPr="0010123D">
        <w:rPr>
          <w:color w:val="808080"/>
          <w:lang w:val="fr-FR"/>
        </w:rPr>
        <w:t>Préparation de l’analyse SWOT et de la décision Go / No Go</w:t>
      </w:r>
    </w:p>
    <w:p w14:paraId="657053BC" w14:textId="77777777" w:rsidR="00AB1FF5" w:rsidRPr="0010123D" w:rsidRDefault="0042422F">
      <w:pPr>
        <w:spacing w:after="160"/>
        <w:rPr>
          <w:lang w:val="fr-FR"/>
        </w:rPr>
      </w:pPr>
      <w:r w:rsidRPr="0010123D">
        <w:rPr>
          <w:sz w:val="18"/>
          <w:szCs w:val="18"/>
          <w:lang w:val="fr-FR"/>
        </w:rPr>
        <w:t>Cette fiche ne recueille que les informations internes au groupement. Les données déjà présentes dans le dossier d’appel d’offres (CDC, lettre de présélection, lettre d’invitation) ne sont pas à ressaisir. Chaque fiche signale, le cas échéant, les points à extraire du CDC. Le symbole ▸CDC indique une colonne à recopier depuis le dossier d’appel d’offres.</w:t>
      </w:r>
    </w:p>
    <w:p w14:paraId="214930A9" w14:textId="77777777" w:rsidR="00AB1FF5" w:rsidRPr="0010123D" w:rsidRDefault="0042422F">
      <w:pPr>
        <w:spacing w:before="160" w:after="60"/>
        <w:rPr>
          <w:lang w:val="fr-FR"/>
        </w:rPr>
      </w:pPr>
      <w:r w:rsidRPr="0010123D">
        <w:rPr>
          <w:b/>
          <w:bCs/>
          <w:color w:val="2E5496"/>
          <w:lang w:val="fr-FR"/>
        </w:rPr>
        <w:t>Identification de l’opportunité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AB1FF5" w:rsidRPr="0010123D" w14:paraId="1ABA2ED1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DC8350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Référence interne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Code dossier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A64538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464AE8" w14:paraId="50A327FF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A2C79D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Intitulé de l’offre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▸CDC. Reporter depuis la lettre d’invitation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D0BB02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464AE8" w14:paraId="100E0151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424D89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Date de dépôt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▸CDC. Reporter depuis le CDC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A549D2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10123D" w14:paraId="70186D2E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553601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Préparé par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Nom, fonction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572F8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10123D" w14:paraId="4B8BF751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217CC9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Validé par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Nom, fonction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BD2D9F" w14:textId="77777777" w:rsidR="00AB1FF5" w:rsidRPr="0010123D" w:rsidRDefault="00AB1FF5">
            <w:pPr>
              <w:rPr>
                <w:lang w:val="fr-FR"/>
              </w:rPr>
            </w:pPr>
          </w:p>
        </w:tc>
      </w:tr>
    </w:tbl>
    <w:p w14:paraId="689002A0" w14:textId="77777777" w:rsidR="00104519" w:rsidRDefault="00104519" w:rsidP="00F92113">
      <w:pPr>
        <w:rPr>
          <w:lang w:val="fr-FR"/>
        </w:rPr>
        <w:sectPr w:rsidR="00104519" w:rsidSect="00104519">
          <w:headerReference w:type="default" r:id="rId7"/>
          <w:footerReference w:type="default" r:id="rId8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1CF719CE" w14:textId="685BBAD5" w:rsidR="00AB1FF5" w:rsidRPr="0010123D" w:rsidRDefault="0042422F" w:rsidP="00BE2A69">
      <w:pPr>
        <w:pStyle w:val="Titre1"/>
      </w:pPr>
      <w:r w:rsidRPr="0010123D">
        <w:lastRenderedPageBreak/>
        <w:t xml:space="preserve">FICHE </w:t>
      </w:r>
      <w:r w:rsidR="00BE2A69" w:rsidRPr="0010123D">
        <w:t>B</w:t>
      </w:r>
      <w:r w:rsidRPr="0010123D">
        <w:t>. Analyse financière préliminaire</w:t>
      </w:r>
      <w:r w:rsidR="00F53C3A">
        <w:t xml:space="preserve"> </w:t>
      </w:r>
      <w:r w:rsidR="00F53C3A" w:rsidRPr="00F53C3A">
        <w:rPr>
          <w:color w:val="767171" w:themeColor="background2" w:themeShade="80"/>
          <w:sz w:val="17"/>
          <w:szCs w:val="17"/>
        </w:rPr>
        <w:t>Évaluer la viabilité financière au-delà des clauses fixées par le CDC.</w:t>
      </w:r>
    </w:p>
    <w:p w14:paraId="3A38F6C1" w14:textId="77777777" w:rsidR="00AB1FF5" w:rsidRPr="0010123D" w:rsidRDefault="00AB1FF5">
      <w:pPr>
        <w:spacing w:after="60"/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B1FF5" w:rsidRPr="00464AE8" w14:paraId="7B29B6DA" w14:textId="77777777">
        <w:tc>
          <w:tcPr>
            <w:tcW w:w="9026" w:type="dxa"/>
            <w:tcBorders>
              <w:top w:val="single" w:sz="4" w:space="0" w:color="BF9000"/>
              <w:left w:val="single" w:sz="18" w:space="0" w:color="BF9000"/>
              <w:bottom w:val="single" w:sz="4" w:space="0" w:color="BF9000"/>
              <w:right w:val="single" w:sz="4" w:space="0" w:color="BF9000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5F2560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7"/>
                <w:szCs w:val="17"/>
                <w:lang w:val="fr-FR"/>
              </w:rPr>
              <w:t xml:space="preserve">À extraire du CDC, ne pas ressaisir. </w:t>
            </w:r>
            <w:r w:rsidRPr="0010123D">
              <w:rPr>
                <w:sz w:val="17"/>
                <w:szCs w:val="17"/>
                <w:lang w:val="fr-FR"/>
              </w:rPr>
              <w:t>La monnaie de règlement et de conversion, le type de contrat, la révision de prix, la fiscalité (TVA, redevance de régulation, enregistrement, retenue à la source), l’échéancier de paiement et les cautions (avance, bonne exécution) sont définis dans le CDC.</w:t>
            </w:r>
          </w:p>
        </w:tc>
      </w:tr>
    </w:tbl>
    <w:p w14:paraId="0A58C761" w14:textId="39F98ACA" w:rsidR="00AB1FF5" w:rsidRDefault="00BE2A69" w:rsidP="00BE2A69">
      <w:pPr>
        <w:pStyle w:val="Titre2"/>
        <w:rPr>
          <w:lang w:val="fr-FR"/>
        </w:rPr>
      </w:pPr>
      <w:r w:rsidRPr="0010123D">
        <w:rPr>
          <w:lang w:val="fr-FR"/>
        </w:rPr>
        <w:t>B</w:t>
      </w:r>
      <w:r w:rsidR="0042422F" w:rsidRPr="0010123D">
        <w:rPr>
          <w:lang w:val="fr-FR"/>
        </w:rPr>
        <w:t>1. Éléments financiers internes</w:t>
      </w:r>
    </w:p>
    <w:p w14:paraId="354E3F93" w14:textId="77777777" w:rsidR="00F53C3A" w:rsidRPr="0010123D" w:rsidRDefault="00F53C3A" w:rsidP="00BE2A69">
      <w:pPr>
        <w:pStyle w:val="Titre2"/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AB1FF5" w:rsidRPr="00F53C3A" w14:paraId="5546651E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E58339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Budget estimé du marché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Montant, monnaie, source de l’estimation. Souvent non publié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E7D0EA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464AE8" w14:paraId="40EF4F09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A20E03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Taux de change appliqué et source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Ex. parité fixe, BCEAO, BCE, date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0041F6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464AE8" w14:paraId="14C0AAA6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B7EFDA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Coefficient de charges de structure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Pourcentage appliqué, justification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794109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464AE8" w14:paraId="468E86C4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5F5482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Marge cible visée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Pourcentage après prise en compte des risques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39CD86" w14:textId="77777777" w:rsidR="00AB1FF5" w:rsidRPr="0010123D" w:rsidRDefault="00AB1FF5">
            <w:pPr>
              <w:rPr>
                <w:lang w:val="fr-FR"/>
              </w:rPr>
            </w:pPr>
          </w:p>
        </w:tc>
      </w:tr>
    </w:tbl>
    <w:p w14:paraId="64D4D50F" w14:textId="772ACB51" w:rsidR="00AB1FF5" w:rsidRPr="0010123D" w:rsidRDefault="00BE2A69" w:rsidP="00BE2A69">
      <w:pPr>
        <w:pStyle w:val="Titre2"/>
        <w:rPr>
          <w:lang w:val="fr-FR"/>
        </w:rPr>
      </w:pPr>
      <w:r w:rsidRPr="0010123D">
        <w:rPr>
          <w:lang w:val="fr-FR"/>
        </w:rPr>
        <w:t>B</w:t>
      </w:r>
      <w:r w:rsidR="0042422F" w:rsidRPr="0010123D">
        <w:rPr>
          <w:lang w:val="fr-FR"/>
        </w:rPr>
        <w:t xml:space="preserve">2. </w:t>
      </w:r>
      <w:proofErr w:type="spellStart"/>
      <w:r w:rsidR="0042422F" w:rsidRPr="0010123D">
        <w:rPr>
          <w:lang w:val="fr-FR"/>
        </w:rPr>
        <w:t>Cash flow</w:t>
      </w:r>
      <w:proofErr w:type="spellEnd"/>
      <w:r w:rsidR="0042422F" w:rsidRPr="0010123D">
        <w:rPr>
          <w:lang w:val="fr-FR"/>
        </w:rPr>
        <w:t xml:space="preserve"> par jalon</w:t>
      </w:r>
    </w:p>
    <w:tbl>
      <w:tblPr>
        <w:tblW w:w="9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1398"/>
        <w:gridCol w:w="2395"/>
        <w:gridCol w:w="2395"/>
      </w:tblGrid>
      <w:tr w:rsidR="00AB1FF5" w:rsidRPr="0010123D" w14:paraId="2AC7D2A8" w14:textId="77777777" w:rsidTr="00D5429A">
        <w:trPr>
          <w:tblHeader/>
        </w:trPr>
        <w:tc>
          <w:tcPr>
            <w:tcW w:w="2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5C2626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color w:val="FFFFFF"/>
                <w:sz w:val="18"/>
                <w:szCs w:val="18"/>
                <w:lang w:val="fr-FR"/>
              </w:rPr>
              <w:t>Jalon / Livrable</w:t>
            </w:r>
            <w:r w:rsidRPr="0010123D">
              <w:rPr>
                <w:b/>
                <w:bCs/>
                <w:color w:val="FFD966"/>
                <w:sz w:val="14"/>
                <w:szCs w:val="14"/>
                <w:lang w:val="fr-FR"/>
              </w:rPr>
              <w:t xml:space="preserve"> ▸CDC</w:t>
            </w:r>
          </w:p>
        </w:tc>
        <w:tc>
          <w:tcPr>
            <w:tcW w:w="1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30731E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color w:val="FFFFFF"/>
                <w:sz w:val="18"/>
                <w:szCs w:val="18"/>
                <w:lang w:val="fr-FR"/>
              </w:rPr>
              <w:t>% du montant</w:t>
            </w:r>
            <w:r w:rsidRPr="0010123D">
              <w:rPr>
                <w:b/>
                <w:bCs/>
                <w:color w:val="FFD966"/>
                <w:sz w:val="14"/>
                <w:szCs w:val="14"/>
                <w:lang w:val="fr-FR"/>
              </w:rPr>
              <w:t xml:space="preserve"> ▸CDC</w:t>
            </w:r>
          </w:p>
        </w:tc>
        <w:tc>
          <w:tcPr>
            <w:tcW w:w="2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BD34B9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color w:val="FFFFFF"/>
                <w:sz w:val="18"/>
                <w:szCs w:val="18"/>
                <w:lang w:val="fr-FR"/>
              </w:rPr>
              <w:t>Délai de paiement estimé</w:t>
            </w:r>
          </w:p>
        </w:tc>
        <w:tc>
          <w:tcPr>
            <w:tcW w:w="2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9C431E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color w:val="FFFFFF"/>
                <w:sz w:val="18"/>
                <w:szCs w:val="18"/>
                <w:lang w:val="fr-FR"/>
              </w:rPr>
              <w:t xml:space="preserve">Risque de </w:t>
            </w:r>
            <w:proofErr w:type="spellStart"/>
            <w:r w:rsidRPr="0010123D">
              <w:rPr>
                <w:b/>
                <w:bCs/>
                <w:color w:val="FFFFFF"/>
                <w:sz w:val="18"/>
                <w:szCs w:val="18"/>
                <w:lang w:val="fr-FR"/>
              </w:rPr>
              <w:t>cash flow</w:t>
            </w:r>
            <w:proofErr w:type="spellEnd"/>
          </w:p>
        </w:tc>
      </w:tr>
      <w:tr w:rsidR="00AB1FF5" w:rsidRPr="0010123D" w14:paraId="56E43D61" w14:textId="77777777" w:rsidTr="00D5429A">
        <w:trPr>
          <w:trHeight w:val="420"/>
        </w:trPr>
        <w:tc>
          <w:tcPr>
            <w:tcW w:w="2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E93B11" w14:textId="77777777" w:rsidR="00AB1FF5" w:rsidRPr="0010123D" w:rsidRDefault="00AB1FF5">
            <w:pPr>
              <w:rPr>
                <w:lang w:val="fr-FR"/>
              </w:rPr>
            </w:pPr>
          </w:p>
        </w:tc>
        <w:tc>
          <w:tcPr>
            <w:tcW w:w="1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8BD251" w14:textId="77777777" w:rsidR="00AB1FF5" w:rsidRPr="0010123D" w:rsidRDefault="00AB1FF5">
            <w:pPr>
              <w:rPr>
                <w:lang w:val="fr-FR"/>
              </w:rPr>
            </w:pPr>
          </w:p>
        </w:tc>
        <w:tc>
          <w:tcPr>
            <w:tcW w:w="2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1050C7" w14:textId="77777777" w:rsidR="00AB1FF5" w:rsidRPr="0010123D" w:rsidRDefault="00AB1FF5">
            <w:pPr>
              <w:rPr>
                <w:lang w:val="fr-FR"/>
              </w:rPr>
            </w:pPr>
          </w:p>
        </w:tc>
        <w:tc>
          <w:tcPr>
            <w:tcW w:w="2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F7DCF4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10123D" w14:paraId="430ACB38" w14:textId="77777777" w:rsidTr="00D5429A">
        <w:trPr>
          <w:trHeight w:val="420"/>
        </w:trPr>
        <w:tc>
          <w:tcPr>
            <w:tcW w:w="2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1389AF" w14:textId="77777777" w:rsidR="00AB1FF5" w:rsidRPr="0010123D" w:rsidRDefault="00AB1FF5">
            <w:pPr>
              <w:rPr>
                <w:lang w:val="fr-FR"/>
              </w:rPr>
            </w:pPr>
          </w:p>
        </w:tc>
        <w:tc>
          <w:tcPr>
            <w:tcW w:w="1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95B113" w14:textId="77777777" w:rsidR="00AB1FF5" w:rsidRPr="0010123D" w:rsidRDefault="00AB1FF5">
            <w:pPr>
              <w:rPr>
                <w:lang w:val="fr-FR"/>
              </w:rPr>
            </w:pPr>
          </w:p>
        </w:tc>
        <w:tc>
          <w:tcPr>
            <w:tcW w:w="2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B71014" w14:textId="77777777" w:rsidR="00AB1FF5" w:rsidRPr="0010123D" w:rsidRDefault="00AB1FF5">
            <w:pPr>
              <w:rPr>
                <w:lang w:val="fr-FR"/>
              </w:rPr>
            </w:pPr>
          </w:p>
        </w:tc>
        <w:tc>
          <w:tcPr>
            <w:tcW w:w="2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F09180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10123D" w14:paraId="38380B3B" w14:textId="77777777" w:rsidTr="00D5429A">
        <w:trPr>
          <w:trHeight w:val="420"/>
        </w:trPr>
        <w:tc>
          <w:tcPr>
            <w:tcW w:w="2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22F684" w14:textId="77777777" w:rsidR="00AB1FF5" w:rsidRPr="0010123D" w:rsidRDefault="00AB1FF5">
            <w:pPr>
              <w:rPr>
                <w:lang w:val="fr-FR"/>
              </w:rPr>
            </w:pPr>
          </w:p>
        </w:tc>
        <w:tc>
          <w:tcPr>
            <w:tcW w:w="1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57F142" w14:textId="77777777" w:rsidR="00AB1FF5" w:rsidRPr="0010123D" w:rsidRDefault="00AB1FF5">
            <w:pPr>
              <w:rPr>
                <w:lang w:val="fr-FR"/>
              </w:rPr>
            </w:pPr>
          </w:p>
        </w:tc>
        <w:tc>
          <w:tcPr>
            <w:tcW w:w="2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CF3982" w14:textId="77777777" w:rsidR="00AB1FF5" w:rsidRPr="0010123D" w:rsidRDefault="00AB1FF5">
            <w:pPr>
              <w:rPr>
                <w:lang w:val="fr-FR"/>
              </w:rPr>
            </w:pPr>
          </w:p>
        </w:tc>
        <w:tc>
          <w:tcPr>
            <w:tcW w:w="2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DE0379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10123D" w14:paraId="1962C677" w14:textId="77777777" w:rsidTr="00D5429A">
        <w:trPr>
          <w:trHeight w:val="420"/>
        </w:trPr>
        <w:tc>
          <w:tcPr>
            <w:tcW w:w="2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139AD8" w14:textId="77777777" w:rsidR="00AB1FF5" w:rsidRPr="0010123D" w:rsidRDefault="00AB1FF5">
            <w:pPr>
              <w:rPr>
                <w:lang w:val="fr-FR"/>
              </w:rPr>
            </w:pPr>
          </w:p>
        </w:tc>
        <w:tc>
          <w:tcPr>
            <w:tcW w:w="1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282416" w14:textId="77777777" w:rsidR="00AB1FF5" w:rsidRPr="0010123D" w:rsidRDefault="00AB1FF5">
            <w:pPr>
              <w:rPr>
                <w:lang w:val="fr-FR"/>
              </w:rPr>
            </w:pPr>
          </w:p>
        </w:tc>
        <w:tc>
          <w:tcPr>
            <w:tcW w:w="2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FD551A" w14:textId="77777777" w:rsidR="00AB1FF5" w:rsidRPr="0010123D" w:rsidRDefault="00AB1FF5">
            <w:pPr>
              <w:rPr>
                <w:lang w:val="fr-FR"/>
              </w:rPr>
            </w:pPr>
          </w:p>
        </w:tc>
        <w:tc>
          <w:tcPr>
            <w:tcW w:w="2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B6C2FA" w14:textId="77777777" w:rsidR="00AB1FF5" w:rsidRPr="0010123D" w:rsidRDefault="00AB1FF5">
            <w:pPr>
              <w:rPr>
                <w:lang w:val="fr-FR"/>
              </w:rPr>
            </w:pPr>
          </w:p>
        </w:tc>
      </w:tr>
    </w:tbl>
    <w:p w14:paraId="7D648E4E" w14:textId="490B6D9A" w:rsidR="00AB1FF5" w:rsidRPr="0010123D" w:rsidRDefault="00BE2A69" w:rsidP="00BE2A69">
      <w:pPr>
        <w:pStyle w:val="Titre2"/>
        <w:rPr>
          <w:lang w:val="fr-FR"/>
        </w:rPr>
      </w:pPr>
      <w:r w:rsidRPr="0010123D">
        <w:rPr>
          <w:lang w:val="fr-FR"/>
        </w:rPr>
        <w:t>B</w:t>
      </w:r>
      <w:r w:rsidR="0042422F" w:rsidRPr="0010123D">
        <w:rPr>
          <w:lang w:val="fr-FR"/>
        </w:rPr>
        <w:t>3. Synthèse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AB1FF5" w:rsidRPr="00464AE8" w14:paraId="27F984E1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B446B1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Commentaires financiers généraux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Tout élément financier à risque ou à surveiller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08AD9F" w14:textId="77777777" w:rsidR="00AB1FF5" w:rsidRPr="0010123D" w:rsidRDefault="00AB1FF5">
            <w:pPr>
              <w:rPr>
                <w:lang w:val="fr-FR"/>
              </w:rPr>
            </w:pPr>
          </w:p>
        </w:tc>
      </w:tr>
    </w:tbl>
    <w:p w14:paraId="3060FC4C" w14:textId="77777777" w:rsidR="0042422F" w:rsidRPr="0010123D" w:rsidRDefault="0042422F">
      <w:pPr>
        <w:rPr>
          <w:lang w:val="fr-FR"/>
        </w:rPr>
      </w:pPr>
    </w:p>
    <w:sectPr w:rsidR="0042422F" w:rsidRPr="0010123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21B6D6" w14:textId="77777777" w:rsidR="00603BC8" w:rsidRDefault="00603BC8">
      <w:r>
        <w:separator/>
      </w:r>
    </w:p>
  </w:endnote>
  <w:endnote w:type="continuationSeparator" w:id="0">
    <w:p w14:paraId="759411A7" w14:textId="77777777" w:rsidR="00603BC8" w:rsidRDefault="00603B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F431A" w14:textId="77777777" w:rsidR="00104519" w:rsidRPr="0078696D" w:rsidRDefault="00104519">
    <w:pPr>
      <w:jc w:val="center"/>
      <w:rPr>
        <w:lang w:val="fr-FR"/>
      </w:rPr>
    </w:pPr>
    <w:r w:rsidRPr="0078696D">
      <w:rPr>
        <w:color w:val="808080"/>
        <w:sz w:val="14"/>
        <w:szCs w:val="14"/>
        <w:lang w:val="fr-FR"/>
      </w:rPr>
      <w:t xml:space="preserve">À conserver dans le dossier de l’offre  –  page </w:t>
    </w:r>
    <w:r>
      <w:rPr>
        <w:color w:val="808080"/>
        <w:sz w:val="14"/>
        <w:szCs w:val="14"/>
      </w:rPr>
      <w:fldChar w:fldCharType="begin"/>
    </w:r>
    <w:r w:rsidRPr="0078696D">
      <w:rPr>
        <w:color w:val="808080"/>
        <w:sz w:val="14"/>
        <w:szCs w:val="14"/>
        <w:lang w:val="fr-FR"/>
      </w:rPr>
      <w:instrText>PAGE</w:instrText>
    </w:r>
    <w:r>
      <w:rPr>
        <w:color w:val="808080"/>
        <w:sz w:val="14"/>
        <w:szCs w:val="14"/>
      </w:rPr>
      <w:fldChar w:fldCharType="separate"/>
    </w:r>
    <w:r w:rsidRPr="0078696D">
      <w:rPr>
        <w:noProof/>
        <w:color w:val="808080"/>
        <w:sz w:val="14"/>
        <w:szCs w:val="14"/>
        <w:lang w:val="fr-FR"/>
      </w:rPr>
      <w:t>1</w:t>
    </w:r>
    <w:r>
      <w:rPr>
        <w:color w:val="808080"/>
        <w:sz w:val="14"/>
        <w:szCs w:val="14"/>
      </w:rPr>
      <w:fldChar w:fldCharType="end"/>
    </w:r>
    <w:r w:rsidRPr="0078696D">
      <w:rPr>
        <w:color w:val="808080"/>
        <w:sz w:val="14"/>
        <w:szCs w:val="14"/>
        <w:lang w:val="fr-FR"/>
      </w:rPr>
      <w:t xml:space="preserve"> / </w:t>
    </w:r>
    <w:r>
      <w:rPr>
        <w:color w:val="808080"/>
        <w:sz w:val="14"/>
        <w:szCs w:val="14"/>
      </w:rPr>
      <w:fldChar w:fldCharType="begin"/>
    </w:r>
    <w:r w:rsidRPr="0078696D">
      <w:rPr>
        <w:color w:val="808080"/>
        <w:sz w:val="14"/>
        <w:szCs w:val="14"/>
        <w:lang w:val="fr-FR"/>
      </w:rPr>
      <w:instrText>NUMPAGES</w:instrText>
    </w:r>
    <w:r>
      <w:rPr>
        <w:color w:val="808080"/>
        <w:sz w:val="14"/>
        <w:szCs w:val="14"/>
      </w:rPr>
      <w:fldChar w:fldCharType="separate"/>
    </w:r>
    <w:r w:rsidRPr="0078696D">
      <w:rPr>
        <w:noProof/>
        <w:color w:val="808080"/>
        <w:sz w:val="14"/>
        <w:szCs w:val="14"/>
        <w:lang w:val="fr-FR"/>
      </w:rPr>
      <w:t>2</w:t>
    </w:r>
    <w:r>
      <w:rPr>
        <w:color w:val="80808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01BBC0" w14:textId="77777777" w:rsidR="00603BC8" w:rsidRDefault="00603BC8">
      <w:r>
        <w:separator/>
      </w:r>
    </w:p>
  </w:footnote>
  <w:footnote w:type="continuationSeparator" w:id="0">
    <w:p w14:paraId="6BA40972" w14:textId="77777777" w:rsidR="00603BC8" w:rsidRDefault="00603B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DCE5C" w14:textId="77777777" w:rsidR="00104519" w:rsidRDefault="00104519">
    <w:pPr>
      <w:pBdr>
        <w:bottom w:val="single" w:sz="4" w:space="2" w:color="BFBFBF"/>
      </w:pBdr>
      <w:jc w:val="right"/>
    </w:pPr>
    <w:r>
      <w:rPr>
        <w:color w:val="808080"/>
        <w:sz w:val="14"/>
        <w:szCs w:val="14"/>
      </w:rPr>
      <w:t xml:space="preserve">FCI — Fiche </w:t>
    </w:r>
    <w:proofErr w:type="spellStart"/>
    <w:r>
      <w:rPr>
        <w:color w:val="808080"/>
        <w:sz w:val="14"/>
        <w:szCs w:val="14"/>
      </w:rPr>
      <w:t>Contexte</w:t>
    </w:r>
    <w:proofErr w:type="spellEnd"/>
    <w:r>
      <w:rPr>
        <w:color w:val="808080"/>
        <w:sz w:val="14"/>
        <w:szCs w:val="14"/>
      </w:rPr>
      <w:t xml:space="preserve"> Interne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52AAF"/>
    <w:multiLevelType w:val="hybridMultilevel"/>
    <w:tmpl w:val="5DBEB108"/>
    <w:lvl w:ilvl="0" w:tplc="FC8C4CE2">
      <w:start w:val="1"/>
      <w:numFmt w:val="bullet"/>
      <w:lvlText w:val="●"/>
      <w:lvlJc w:val="left"/>
      <w:pPr>
        <w:ind w:left="720" w:hanging="360"/>
      </w:pPr>
    </w:lvl>
    <w:lvl w:ilvl="1" w:tplc="FC085E3A">
      <w:start w:val="1"/>
      <w:numFmt w:val="bullet"/>
      <w:lvlText w:val="○"/>
      <w:lvlJc w:val="left"/>
      <w:pPr>
        <w:ind w:left="1440" w:hanging="360"/>
      </w:pPr>
    </w:lvl>
    <w:lvl w:ilvl="2" w:tplc="58C293A0">
      <w:start w:val="1"/>
      <w:numFmt w:val="bullet"/>
      <w:lvlText w:val="■"/>
      <w:lvlJc w:val="left"/>
      <w:pPr>
        <w:ind w:left="2160" w:hanging="360"/>
      </w:pPr>
    </w:lvl>
    <w:lvl w:ilvl="3" w:tplc="CFFCA9C0">
      <w:start w:val="1"/>
      <w:numFmt w:val="bullet"/>
      <w:lvlText w:val="●"/>
      <w:lvlJc w:val="left"/>
      <w:pPr>
        <w:ind w:left="2880" w:hanging="360"/>
      </w:pPr>
    </w:lvl>
    <w:lvl w:ilvl="4" w:tplc="BC56DD8A">
      <w:start w:val="1"/>
      <w:numFmt w:val="bullet"/>
      <w:lvlText w:val="○"/>
      <w:lvlJc w:val="left"/>
      <w:pPr>
        <w:ind w:left="3600" w:hanging="360"/>
      </w:pPr>
    </w:lvl>
    <w:lvl w:ilvl="5" w:tplc="7A3EFE28">
      <w:start w:val="1"/>
      <w:numFmt w:val="bullet"/>
      <w:lvlText w:val="■"/>
      <w:lvlJc w:val="left"/>
      <w:pPr>
        <w:ind w:left="4320" w:hanging="360"/>
      </w:pPr>
    </w:lvl>
    <w:lvl w:ilvl="6" w:tplc="00BC6A16">
      <w:start w:val="1"/>
      <w:numFmt w:val="bullet"/>
      <w:lvlText w:val="●"/>
      <w:lvlJc w:val="left"/>
      <w:pPr>
        <w:ind w:left="5040" w:hanging="360"/>
      </w:pPr>
    </w:lvl>
    <w:lvl w:ilvl="7" w:tplc="58E24B92">
      <w:start w:val="1"/>
      <w:numFmt w:val="bullet"/>
      <w:lvlText w:val="●"/>
      <w:lvlJc w:val="left"/>
      <w:pPr>
        <w:ind w:left="5760" w:hanging="360"/>
      </w:pPr>
    </w:lvl>
    <w:lvl w:ilvl="8" w:tplc="ADB222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6B75C76"/>
    <w:multiLevelType w:val="hybridMultilevel"/>
    <w:tmpl w:val="77602D0A"/>
    <w:lvl w:ilvl="0" w:tplc="8F565D36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F2F09"/>
    <w:multiLevelType w:val="hybridMultilevel"/>
    <w:tmpl w:val="6F70AF40"/>
    <w:lvl w:ilvl="0" w:tplc="5E78959E">
      <w:start w:val="1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FF5"/>
    <w:rsid w:val="0010123D"/>
    <w:rsid w:val="00104519"/>
    <w:rsid w:val="001C4BB2"/>
    <w:rsid w:val="001F621D"/>
    <w:rsid w:val="00254B1D"/>
    <w:rsid w:val="002E1E68"/>
    <w:rsid w:val="00302352"/>
    <w:rsid w:val="0037142B"/>
    <w:rsid w:val="003F01BC"/>
    <w:rsid w:val="0042422F"/>
    <w:rsid w:val="00464AE8"/>
    <w:rsid w:val="00467840"/>
    <w:rsid w:val="0049136E"/>
    <w:rsid w:val="004922EC"/>
    <w:rsid w:val="00492767"/>
    <w:rsid w:val="004D6D56"/>
    <w:rsid w:val="004E7D86"/>
    <w:rsid w:val="00596F03"/>
    <w:rsid w:val="005D4EFC"/>
    <w:rsid w:val="00603BC8"/>
    <w:rsid w:val="00622E0B"/>
    <w:rsid w:val="00626CA3"/>
    <w:rsid w:val="0063593B"/>
    <w:rsid w:val="006F54A7"/>
    <w:rsid w:val="0078696D"/>
    <w:rsid w:val="008C41BE"/>
    <w:rsid w:val="008D2459"/>
    <w:rsid w:val="00A07502"/>
    <w:rsid w:val="00A60FF3"/>
    <w:rsid w:val="00A62364"/>
    <w:rsid w:val="00A87D1C"/>
    <w:rsid w:val="00A90FD4"/>
    <w:rsid w:val="00AB1FF5"/>
    <w:rsid w:val="00B40B9D"/>
    <w:rsid w:val="00BE2A69"/>
    <w:rsid w:val="00C1188C"/>
    <w:rsid w:val="00C25FC0"/>
    <w:rsid w:val="00C64610"/>
    <w:rsid w:val="00C7134C"/>
    <w:rsid w:val="00C91371"/>
    <w:rsid w:val="00D3282C"/>
    <w:rsid w:val="00D5429A"/>
    <w:rsid w:val="00D836D4"/>
    <w:rsid w:val="00DB2143"/>
    <w:rsid w:val="00DD1748"/>
    <w:rsid w:val="00F41D4C"/>
    <w:rsid w:val="00F53C3A"/>
    <w:rsid w:val="00F86D37"/>
    <w:rsid w:val="00F92113"/>
    <w:rsid w:val="00FD3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8A86A"/>
  <w15:docId w15:val="{80FFF6A5-94A2-4AE2-BBB3-7D41F5205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519"/>
  </w:style>
  <w:style w:type="paragraph" w:styleId="Titre1">
    <w:name w:val="heading 1"/>
    <w:link w:val="Titre1Car"/>
    <w:uiPriority w:val="9"/>
    <w:qFormat/>
    <w:rsid w:val="00BE2A69"/>
    <w:pPr>
      <w:pageBreakBefore/>
      <w:pBdr>
        <w:bottom w:val="single" w:sz="12" w:space="4" w:color="2E5496"/>
      </w:pBdr>
      <w:spacing w:before="240" w:after="120"/>
      <w:outlineLvl w:val="0"/>
    </w:pPr>
    <w:rPr>
      <w:b/>
      <w:bCs/>
      <w:color w:val="1F3864"/>
      <w:sz w:val="28"/>
      <w:szCs w:val="28"/>
      <w:lang w:val="fr-FR"/>
    </w:rPr>
  </w:style>
  <w:style w:type="paragraph" w:styleId="Titre2">
    <w:name w:val="heading 2"/>
    <w:link w:val="Titre2Car"/>
    <w:uiPriority w:val="9"/>
    <w:unhideWhenUsed/>
    <w:qFormat/>
    <w:rsid w:val="00BE2A69"/>
    <w:pPr>
      <w:spacing w:before="120"/>
      <w:outlineLvl w:val="1"/>
    </w:pPr>
    <w:rPr>
      <w:color w:val="2E74B5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customStyle="1" w:styleId="Titreintermdire">
    <w:name w:val="Titre intermédière"/>
    <w:basedOn w:val="Titre2"/>
    <w:link w:val="TitreintermdireCar"/>
    <w:qFormat/>
    <w:rsid w:val="00F92113"/>
    <w:pPr>
      <w:spacing w:before="160" w:after="60"/>
    </w:pPr>
    <w:rPr>
      <w:b/>
      <w:bCs/>
      <w:color w:val="2E5496"/>
    </w:rPr>
  </w:style>
  <w:style w:type="character" w:customStyle="1" w:styleId="Titre2Car">
    <w:name w:val="Titre 2 Car"/>
    <w:basedOn w:val="Policepardfaut"/>
    <w:link w:val="Titre2"/>
    <w:uiPriority w:val="9"/>
    <w:rsid w:val="00F92113"/>
    <w:rPr>
      <w:color w:val="2E74B5"/>
      <w:sz w:val="24"/>
      <w:szCs w:val="24"/>
    </w:rPr>
  </w:style>
  <w:style w:type="character" w:customStyle="1" w:styleId="TitreintermdireCar">
    <w:name w:val="Titre intermédière Car"/>
    <w:basedOn w:val="Titre2Car"/>
    <w:link w:val="Titreintermdire"/>
    <w:rsid w:val="00F92113"/>
    <w:rPr>
      <w:b/>
      <w:bCs/>
      <w:color w:val="2E5496"/>
      <w:sz w:val="24"/>
      <w:szCs w:val="24"/>
    </w:rPr>
  </w:style>
  <w:style w:type="character" w:styleId="Marquedecommentaire">
    <w:name w:val="annotation reference"/>
    <w:basedOn w:val="Policepardfaut"/>
    <w:uiPriority w:val="99"/>
    <w:semiHidden/>
    <w:unhideWhenUsed/>
    <w:rsid w:val="00622E0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622E0B"/>
  </w:style>
  <w:style w:type="character" w:customStyle="1" w:styleId="CommentaireCar">
    <w:name w:val="Commentaire Car"/>
    <w:basedOn w:val="Policepardfaut"/>
    <w:link w:val="Commentaire"/>
    <w:uiPriority w:val="99"/>
    <w:rsid w:val="00622E0B"/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22E0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22E0B"/>
    <w:rPr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F53C3A"/>
    <w:rPr>
      <w:b/>
      <w:bCs/>
      <w:color w:val="1F3864"/>
      <w:sz w:val="28"/>
      <w:szCs w:val="28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Fiche Contexte Interne (FCI) - modèle générique</vt:lpstr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Contexte Interne (FCI) - modèle générique</dc:title>
  <dc:creator>Claude</dc:creator>
  <cp:lastModifiedBy>Majed Khalfallah Khalfallah</cp:lastModifiedBy>
  <cp:revision>3</cp:revision>
  <dcterms:created xsi:type="dcterms:W3CDTF">2026-07-28T12:08:00Z</dcterms:created>
  <dcterms:modified xsi:type="dcterms:W3CDTF">2026-07-28T12:09:00Z</dcterms:modified>
</cp:coreProperties>
</file>