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D46B" w14:textId="77777777" w:rsidR="00395509" w:rsidRDefault="00000000">
      <w:pPr>
        <w:pStyle w:val="KBOTitle"/>
      </w:pPr>
      <w:r>
        <w:t>DUAL-USE ENERGY-SYSTEM MODELLING FOR CRITICAL-INFRASTRUCTURE RESILIENCE: OPEN-SOURCE STRESS-TEST ORCHESTRATION AS A LEVER FOR TECHNICAL INTEROPERABILITY</w:t>
      </w:r>
    </w:p>
    <w:p w14:paraId="1625DB5E" w14:textId="77777777" w:rsidR="00BE0262" w:rsidRPr="00A86E40" w:rsidRDefault="00BE0262" w:rsidP="00BE0262">
      <w:pPr>
        <w:pStyle w:val="KBOAuthors"/>
        <w:rPr>
          <w:lang w:val="pl-PL"/>
        </w:rPr>
      </w:pPr>
      <w:r w:rsidRPr="003E4C1D">
        <w:rPr>
          <w:lang w:val="ro-RO"/>
        </w:rPr>
        <w:t>Cosmin</w:t>
      </w:r>
      <w:r w:rsidRPr="00A86E40">
        <w:rPr>
          <w:lang w:val="pl-PL"/>
        </w:rPr>
        <w:t xml:space="preserve"> PIELE*, Bogdan Andrei M</w:t>
      </w:r>
      <w:r>
        <w:rPr>
          <w:lang w:val="ro-RO"/>
        </w:rPr>
        <w:t>ĂNESCU</w:t>
      </w:r>
      <w:r w:rsidRPr="00A86E40">
        <w:rPr>
          <w:lang w:val="pl-PL"/>
        </w:rPr>
        <w:t xml:space="preserve">**, </w:t>
      </w:r>
    </w:p>
    <w:p w14:paraId="455D6CA1" w14:textId="77777777" w:rsidR="00BE0262" w:rsidRPr="003E4C1D" w:rsidRDefault="00BE0262" w:rsidP="00BE0262">
      <w:pPr>
        <w:pStyle w:val="KBOAffiliation"/>
        <w:rPr>
          <w:lang w:val="ro-RO"/>
        </w:rPr>
      </w:pPr>
      <w:r w:rsidRPr="003E4C1D">
        <w:rPr>
          <w:lang w:val="ro-RO"/>
        </w:rPr>
        <w:t>*U</w:t>
      </w:r>
      <w:r>
        <w:rPr>
          <w:lang w:val="ro-RO"/>
        </w:rPr>
        <w:t>niversity of Petroșani, Romania</w:t>
      </w:r>
    </w:p>
    <w:p w14:paraId="2C1D4145" w14:textId="77777777" w:rsidR="00BE0262" w:rsidRPr="003E4C1D" w:rsidRDefault="00BE0262" w:rsidP="00BE0262">
      <w:pPr>
        <w:pStyle w:val="KBOAffiliation"/>
        <w:rPr>
          <w:lang w:val="ro-RO"/>
        </w:rPr>
      </w:pPr>
      <w:r w:rsidRPr="00134A6B">
        <w:rPr>
          <w:lang w:val="en-US"/>
        </w:rPr>
        <w:t>** "Nicolae Bălcescu Land Forces Academy"</w:t>
      </w:r>
      <w:r>
        <w:rPr>
          <w:lang w:val="ro-RO"/>
        </w:rPr>
        <w:t xml:space="preserve">, Sibiu, Romania </w:t>
      </w:r>
    </w:p>
    <w:p w14:paraId="795DB34D" w14:textId="77777777" w:rsidR="00BE0262" w:rsidRPr="001D1EA8" w:rsidRDefault="00BE0262" w:rsidP="00BE0262">
      <w:pPr>
        <w:pStyle w:val="KBOAffiliation"/>
        <w:rPr>
          <w:lang w:val="ro-RO"/>
        </w:rPr>
      </w:pPr>
      <w:hyperlink r:id="rId8" w:history="1">
        <w:r w:rsidRPr="00243E9E">
          <w:rPr>
            <w:rStyle w:val="Hyperlink"/>
            <w:color w:val="auto"/>
            <w:u w:val="none"/>
            <w:lang w:val="ro-RO"/>
          </w:rPr>
          <w:t>piele.cosmin@armyacademy.ro</w:t>
        </w:r>
      </w:hyperlink>
      <w:r w:rsidRPr="00243E9E">
        <w:rPr>
          <w:lang w:val="ro-RO"/>
        </w:rPr>
        <w:t xml:space="preserve">, </w:t>
      </w:r>
      <w:r w:rsidRPr="001D1EA8">
        <w:rPr>
          <w:lang w:val="ro-RO"/>
        </w:rPr>
        <w:t>manescu.bogdan@armyacademy.ro</w:t>
      </w:r>
    </w:p>
    <w:p w14:paraId="0727C6DB" w14:textId="6B3F5221" w:rsidR="00395509" w:rsidRDefault="00000000">
      <w:pPr>
        <w:pStyle w:val="KBOAbstract"/>
      </w:pPr>
      <w:r>
        <w:rPr>
          <w:b/>
        </w:rPr>
        <w:t xml:space="preserve">Abstract: </w:t>
      </w:r>
      <w:r>
        <w:t xml:space="preserve">European energy systems are simultaneously a foundation for civilian welfare and a high-value target for hybrid disruption. This paper argues that open-source energy-system modelling stacks exemplified by PyPSA-Eur with the Romania-specific </w:t>
      </w:r>
      <w:r w:rsidR="008E406F" w:rsidRPr="00D14F88">
        <w:t>Visuali</w:t>
      </w:r>
      <w:r w:rsidR="008E406F">
        <w:t>s</w:t>
      </w:r>
      <w:r w:rsidR="008E406F" w:rsidRPr="00D14F88">
        <w:t>er</w:t>
      </w:r>
      <w:r>
        <w:t xml:space="preserve"> dashboard qualify as dual-use technologies whose maturation supports both Industry 5.0 resilience objectives and contemporary security funding agendas. We describe a six-layer web platform that turns multi-shock stress-tests into a deterministic, reproducible workflow accessible to non-coding analysts. A worked Romania winter case study quantifies the country's exposure under a hybrid disruption: a 30 % demand surge combined with a complete cross-border import cap and partial gas / hydro derating produces approximately 45 GWh of energy not served and a 31 % system-cost increase over a single winter week. We map these capabilities onto the four-layer European Interoperability Framework, identify EU funding instruments Horizon Europe, the European Defence Fund, the Connecting Europe Facility and </w:t>
      </w:r>
      <w:proofErr w:type="spellStart"/>
      <w:r>
        <w:t>rescEU</w:t>
      </w:r>
      <w:proofErr w:type="spellEnd"/>
      <w:r>
        <w:t xml:space="preserve"> whose objectives align with the platform's outputs, and discuss governance constraints under EU Regulation 2021/821 and the Critical Entities Resilience Directive. The paper concludes that civilian-by-design open modelling platforms are the most defensible substrate for cross-pillar interoperability in critical-infrastructure security.</w:t>
      </w:r>
    </w:p>
    <w:p w14:paraId="1C04664D" w14:textId="77777777" w:rsidR="00395509" w:rsidRDefault="00000000">
      <w:pPr>
        <w:pStyle w:val="KBOKeywords"/>
      </w:pPr>
      <w:r>
        <w:t>Keywords: dual-use technology, critical infrastructure resilience, energy-system modelling, technical interoperability, EU security funding</w:t>
      </w:r>
    </w:p>
    <w:p w14:paraId="380E4096" w14:textId="77777777" w:rsidR="00E2357B" w:rsidRDefault="00E2357B">
      <w:pPr>
        <w:pStyle w:val="KBOHeading1"/>
        <w:sectPr w:rsidR="00E2357B" w:rsidSect="00156D0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 w:code="9"/>
          <w:pgMar w:top="1418" w:right="1418" w:bottom="1418" w:left="1418" w:header="1418" w:footer="1134" w:gutter="0"/>
          <w:cols w:space="720"/>
          <w:titlePg/>
          <w:docGrid w:linePitch="360"/>
        </w:sectPr>
      </w:pPr>
    </w:p>
    <w:p w14:paraId="6FD547ED" w14:textId="3E957EFA" w:rsidR="00395509" w:rsidRDefault="0012022A">
      <w:pPr>
        <w:pStyle w:val="KBOHeading1"/>
      </w:pPr>
      <w:r>
        <w:t>1. Introduction</w:t>
      </w:r>
    </w:p>
    <w:p w14:paraId="64353287" w14:textId="57C95FDD" w:rsidR="00395509" w:rsidRDefault="00D14F88">
      <w:pPr>
        <w:pStyle w:val="KBOTextBody"/>
      </w:pPr>
      <w:r w:rsidRPr="00D14F88">
        <w:t xml:space="preserve">Energy systems sit at the intersection of two contemporary policy concerns: they are the prototypical complex socio-technical systems whose disruption cascades through every other sector, and their digital control surfaces have become a contested domain in hybrid conflict [1], [2]. Romania, as a south-eastern frontier of the European synchronous area with active interconnection to Bulgaria, Hungary and Serbia, operates in a region where physical, market and informational disruptions are no longer hypothetical. The 2022–2024 European energy-security crisis exposed the cost of modelling </w:t>
      </w:r>
      <w:proofErr w:type="gramStart"/>
      <w:r w:rsidRPr="00D14F88">
        <w:t>deficits  emergency</w:t>
      </w:r>
      <w:proofErr w:type="gramEnd"/>
      <w:r w:rsidRPr="00D14F88">
        <w:t xml:space="preserve"> analyses had no shared interoperability surface for cross-checking results between ministries, transmission </w:t>
      </w:r>
      <w:r w:rsidRPr="00D14F88">
        <w:t>operators, regulators and defence agencies.</w:t>
      </w:r>
    </w:p>
    <w:p w14:paraId="67E04061" w14:textId="11BC86DC" w:rsidR="00395509" w:rsidRDefault="00D14F88">
      <w:pPr>
        <w:pStyle w:val="KBOTextBody"/>
      </w:pPr>
      <w:r w:rsidRPr="00D14F88">
        <w:t xml:space="preserve">This paper investigates whether an open-source energy-system modelling </w:t>
      </w:r>
      <w:proofErr w:type="gramStart"/>
      <w:r w:rsidRPr="00D14F88">
        <w:t>stack  instantiated</w:t>
      </w:r>
      <w:proofErr w:type="gramEnd"/>
      <w:r w:rsidRPr="00D14F88">
        <w:t xml:space="preserve"> by </w:t>
      </w:r>
      <w:proofErr w:type="spellStart"/>
      <w:r w:rsidRPr="00D14F88">
        <w:t>PyPSA-Eur</w:t>
      </w:r>
      <w:proofErr w:type="spellEnd"/>
      <w:r w:rsidRPr="00D14F88">
        <w:t xml:space="preserve"> and a Romania-specific orchestration </w:t>
      </w:r>
      <w:proofErr w:type="gramStart"/>
      <w:r w:rsidRPr="00D14F88">
        <w:t>dashboard  can</w:t>
      </w:r>
      <w:proofErr w:type="gramEnd"/>
      <w:r w:rsidRPr="00D14F88">
        <w:t xml:space="preserve"> serve as a verifiable substrate for technical interoperability in critical-infrastructure security. </w:t>
      </w:r>
      <w:proofErr w:type="spellStart"/>
      <w:r w:rsidRPr="00D14F88">
        <w:t>PyPSA-Eur</w:t>
      </w:r>
      <w:proofErr w:type="spellEnd"/>
      <w:r w:rsidRPr="00D14F88">
        <w:t xml:space="preserve"> is an open European power-system optimisation model built on the </w:t>
      </w:r>
      <w:proofErr w:type="spellStart"/>
      <w:r w:rsidRPr="00D14F88">
        <w:t>PyPSA</w:t>
      </w:r>
      <w:proofErr w:type="spellEnd"/>
      <w:r w:rsidRPr="00D14F88">
        <w:t xml:space="preserve"> library, with a </w:t>
      </w:r>
      <w:proofErr w:type="spellStart"/>
      <w:r w:rsidRPr="00D14F88">
        <w:t>Snakemake</w:t>
      </w:r>
      <w:proofErr w:type="spellEnd"/>
      <w:r w:rsidRPr="00D14F88">
        <w:t xml:space="preserve"> workflow orchestrating data preparation, network assembly and optimisation [5]. We add a Romania-specific extension exposing a stress-test interface designed for security-relevant simulation: synthetic load multipliers, hydro and gas capacity reductions, ramp-rate constraints proxying SCADA limits, and directional caps on cross-border interconnections. A web </w:t>
      </w:r>
      <w:r w:rsidRPr="00D14F88">
        <w:lastRenderedPageBreak/>
        <w:t>dashboard ("</w:t>
      </w:r>
      <w:r w:rsidR="008E406F" w:rsidRPr="00D14F88">
        <w:t>Visuali</w:t>
      </w:r>
      <w:r w:rsidR="008E406F">
        <w:t>s</w:t>
      </w:r>
      <w:r w:rsidR="008E406F" w:rsidRPr="00D14F88">
        <w:t>er</w:t>
      </w:r>
      <w:r w:rsidRPr="00D14F88">
        <w:t xml:space="preserve">") provides a three-tab control </w:t>
      </w:r>
      <w:proofErr w:type="gramStart"/>
      <w:r w:rsidRPr="00D14F88">
        <w:t>room  scenario</w:t>
      </w:r>
      <w:proofErr w:type="gramEnd"/>
      <w:r w:rsidRPr="00D14F88">
        <w:t xml:space="preserve"> builder, run queue, results </w:t>
      </w:r>
      <w:proofErr w:type="gramStart"/>
      <w:r w:rsidRPr="00D14F88">
        <w:t>viewer  that</w:t>
      </w:r>
      <w:proofErr w:type="gramEnd"/>
      <w:r w:rsidRPr="00D14F88">
        <w:t xml:space="preserve"> allows non-coding analysts to assemble paired baseline/stressed runs and inspect results satisfying a deterministic seven-CSV contract.</w:t>
      </w:r>
    </w:p>
    <w:p w14:paraId="7D76CEEE" w14:textId="77777777" w:rsidR="00D04B3E" w:rsidRDefault="00D04B3E">
      <w:pPr>
        <w:pStyle w:val="KBOTextBody"/>
      </w:pPr>
      <w:r>
        <w:t>Three research questions structure the work that follows.</w:t>
      </w:r>
    </w:p>
    <w:p w14:paraId="6083769B" w14:textId="07B4AED8" w:rsidR="00D04B3E" w:rsidRDefault="00D04B3E" w:rsidP="00D04B3E">
      <w:pPr>
        <w:pStyle w:val="KBOTextBody"/>
      </w:pPr>
      <w:r w:rsidRPr="00D04B3E">
        <w:rPr>
          <w:b/>
        </w:rPr>
        <w:t>RQ</w:t>
      </w:r>
      <w:proofErr w:type="gramStart"/>
      <w:r w:rsidRPr="00D04B3E">
        <w:rPr>
          <w:b/>
        </w:rPr>
        <w:t>1  Interoperability</w:t>
      </w:r>
      <w:proofErr w:type="gramEnd"/>
      <w:r w:rsidRPr="00D04B3E">
        <w:rPr>
          <w:b/>
        </w:rPr>
        <w:t>.</w:t>
      </w:r>
      <w:r>
        <w:t xml:space="preserve"> Can an open-source modelling stack satisfy the four layers of the European Interoperability </w:t>
      </w:r>
      <w:proofErr w:type="gramStart"/>
      <w:r>
        <w:t>Framework  legal</w:t>
      </w:r>
      <w:proofErr w:type="gramEnd"/>
      <w:r>
        <w:t xml:space="preserve">, organisational, semantic and </w:t>
      </w:r>
      <w:proofErr w:type="gramStart"/>
      <w:r>
        <w:t>technical  when</w:t>
      </w:r>
      <w:proofErr w:type="gramEnd"/>
      <w:r>
        <w:t xml:space="preserve"> its result schema, configuration grammar and orchestration are deliberately designed as contracts rather than as artefacts [3]?</w:t>
      </w:r>
    </w:p>
    <w:p w14:paraId="082AF518" w14:textId="39A442ED" w:rsidR="00D04B3E" w:rsidRDefault="00D04B3E" w:rsidP="00D04B3E">
      <w:pPr>
        <w:pStyle w:val="KBOTextBody"/>
      </w:pPr>
      <w:r w:rsidRPr="00D04B3E">
        <w:rPr>
          <w:b/>
        </w:rPr>
        <w:t>RQ</w:t>
      </w:r>
      <w:proofErr w:type="gramStart"/>
      <w:r w:rsidRPr="00D04B3E">
        <w:rPr>
          <w:b/>
        </w:rPr>
        <w:t>2  Dual</w:t>
      </w:r>
      <w:proofErr w:type="gramEnd"/>
      <w:r w:rsidRPr="00D04B3E">
        <w:rPr>
          <w:b/>
        </w:rPr>
        <w:t>-use qualification.</w:t>
      </w:r>
      <w:r>
        <w:t xml:space="preserve"> Does such a stack qualify as a dual-use technology in the sense of EU Regulation 2021/821, that is, usable for civilian decarbonisation studies and equally for defence-relevant resilience assessments while remaining within the public-domain carve-out of the regulation [4]?</w:t>
      </w:r>
    </w:p>
    <w:p w14:paraId="2112B330" w14:textId="1614B5E5" w:rsidR="00395509" w:rsidRDefault="00D04B3E" w:rsidP="00D04B3E">
      <w:pPr>
        <w:pStyle w:val="KBOTextBody"/>
      </w:pPr>
      <w:r w:rsidRPr="00D04B3E">
        <w:rPr>
          <w:b/>
        </w:rPr>
        <w:t>RQ</w:t>
      </w:r>
      <w:proofErr w:type="gramStart"/>
      <w:r w:rsidRPr="00D04B3E">
        <w:rPr>
          <w:b/>
        </w:rPr>
        <w:t>3  Funding</w:t>
      </w:r>
      <w:proofErr w:type="gramEnd"/>
      <w:r w:rsidRPr="00D04B3E">
        <w:rPr>
          <w:b/>
        </w:rPr>
        <w:t xml:space="preserve"> alignment.</w:t>
      </w:r>
      <w:r>
        <w:t xml:space="preserve"> Do contemporary EU funding </w:t>
      </w:r>
      <w:proofErr w:type="gramStart"/>
      <w:r>
        <w:t>instruments  Horizon</w:t>
      </w:r>
      <w:proofErr w:type="gramEnd"/>
      <w:r>
        <w:t xml:space="preserve"> Europe Cluster 5, the European Defence Fund, the Connecting Europe Facility and </w:t>
      </w:r>
      <w:proofErr w:type="spellStart"/>
      <w:proofErr w:type="gramStart"/>
      <w:r>
        <w:t>rescEU</w:t>
      </w:r>
      <w:proofErr w:type="spellEnd"/>
      <w:r>
        <w:t xml:space="preserve">  already</w:t>
      </w:r>
      <w:proofErr w:type="gramEnd"/>
      <w:r>
        <w:t xml:space="preserve"> foresee this dual orientation in a way that lets a platform internalise the four-layer interoperability obligation be co-funded across instruments without architectural duplication?</w:t>
      </w:r>
    </w:p>
    <w:p w14:paraId="65710C21" w14:textId="5129F860" w:rsidR="00395509" w:rsidRDefault="00D14F88">
      <w:pPr>
        <w:pStyle w:val="KBOTextBody"/>
      </w:pPr>
      <w:r w:rsidRPr="00D14F88">
        <w:t>The paper follows an IMRAD structure: Section 2 details the platform's architecture, result contract and stress-test taxonomy; Section 3 presents a Romania winter cross-border-isolation case study; Section 4 discusses dual-use applicability, EU funding alignment, mapping to the European Interoperability Framework, and limitations; Section 5 returns to the three research questions in concluding form.</w:t>
      </w:r>
    </w:p>
    <w:p w14:paraId="27214059" w14:textId="77777777" w:rsidR="00035A4F" w:rsidRDefault="00035A4F">
      <w:pPr>
        <w:pStyle w:val="KBOTextBody"/>
      </w:pPr>
    </w:p>
    <w:p w14:paraId="3CEB4A12" w14:textId="7814DEAB" w:rsidR="00395509" w:rsidRDefault="0012022A" w:rsidP="00D14F88">
      <w:pPr>
        <w:pStyle w:val="KBOHeading2"/>
      </w:pPr>
      <w:r>
        <w:t>1.1. Background</w:t>
      </w:r>
    </w:p>
    <w:p w14:paraId="29856696" w14:textId="3B3E793A" w:rsidR="00395509" w:rsidRDefault="00D14F88" w:rsidP="00D14F88">
      <w:pPr>
        <w:pStyle w:val="KBOHeading2"/>
      </w:pPr>
      <w:r>
        <w:t>1.1.1. Industry 5.0 and resilience</w:t>
      </w:r>
    </w:p>
    <w:p w14:paraId="7DBD5E5B" w14:textId="3392CB5D" w:rsidR="00395509" w:rsidRDefault="00D14F88">
      <w:pPr>
        <w:pStyle w:val="KBOTextBody"/>
      </w:pPr>
      <w:r w:rsidRPr="00D14F88">
        <w:t xml:space="preserve">Industry 5.0 augments the productivity-centric Industry 4.0 narrative with three </w:t>
      </w:r>
      <w:r w:rsidRPr="00D14F88">
        <w:t xml:space="preserve">explicit pillars: human-centricity, sustainability and resilience [6]. Energy systems embody all </w:t>
      </w:r>
      <w:proofErr w:type="gramStart"/>
      <w:r w:rsidRPr="00D14F88">
        <w:t>three  supply</w:t>
      </w:r>
      <w:proofErr w:type="gramEnd"/>
      <w:r w:rsidRPr="00D14F88">
        <w:t xml:space="preserve"> continuity is a precondition for every other public service, decarbonisation is the largest single lever for European emissions reductions, and cascading disruption dynamics affect every linked sector.</w:t>
      </w:r>
    </w:p>
    <w:p w14:paraId="03E21D8F" w14:textId="77777777" w:rsidR="00035A4F" w:rsidRDefault="00035A4F">
      <w:pPr>
        <w:pStyle w:val="KBOTextBody"/>
      </w:pPr>
    </w:p>
    <w:p w14:paraId="64D9CF67" w14:textId="0DB30CE6" w:rsidR="00395509" w:rsidRDefault="00D14F88" w:rsidP="00D14F88">
      <w:pPr>
        <w:pStyle w:val="KBOHeading2"/>
      </w:pPr>
      <w:r>
        <w:t>1.1.2. EU regulatory frame</w:t>
      </w:r>
    </w:p>
    <w:p w14:paraId="12F6967C" w14:textId="45691DA9" w:rsidR="00395509" w:rsidRDefault="00D14F88">
      <w:pPr>
        <w:pStyle w:val="KBOTextBody"/>
      </w:pPr>
      <w:r w:rsidRPr="00D14F88">
        <w:t>Three legal instruments converge here. NIS2 (Directive (EU) 2022/2555) sets cybersecurity obligations on operators of essential services [7]. The Critical Entities Resilience Directive (Directive (EU) 2022/2557) extends those obligations to physical and hybrid threats and requires national risk assessments [8]. The Recast Dual-Use Regulation (Regulation (EU) 2021/821) governs cross-border transfer of dual-use items with a public-domain carve-out for openly published software [4]. The interplay matters: NIS2 imposes a defensive posture, the CER Directive demands quantitative resilience evidence, and the dual-use regulation determines whether modelling platforms can circulate freely.</w:t>
      </w:r>
    </w:p>
    <w:p w14:paraId="109191B4" w14:textId="77777777" w:rsidR="00035A4F" w:rsidRDefault="00035A4F">
      <w:pPr>
        <w:pStyle w:val="KBOTextBody"/>
      </w:pPr>
    </w:p>
    <w:p w14:paraId="18F7D463" w14:textId="628CDDDC" w:rsidR="00395509" w:rsidRDefault="00D14F88" w:rsidP="00D14F88">
      <w:pPr>
        <w:pStyle w:val="KBOHeading2"/>
      </w:pPr>
      <w:r>
        <w:t>1.1.3. Open modelling stacks</w:t>
      </w:r>
    </w:p>
    <w:p w14:paraId="769B9C6C" w14:textId="7C3D0639" w:rsidR="00395509" w:rsidRDefault="00D14F88">
      <w:pPr>
        <w:pStyle w:val="KBOTextBody"/>
      </w:pPr>
      <w:r w:rsidRPr="00D14F88">
        <w:t>Closed proprietary models force national authorities into vendor lock-in and impede cross-border peer review. Open models invert that dynamic: they are inspectable, reproducible and compatible with the open-data obligations attached to Horizon Europe [9], [10], and satisfy the dual-use public-domain carve-out by construction. The marginal cost of additional dual-use capability is bounded by integration work rather than relicensing of the modelling core.</w:t>
      </w:r>
    </w:p>
    <w:p w14:paraId="4ACCDFDB" w14:textId="014BD3C4" w:rsidR="00395509" w:rsidRDefault="0012022A">
      <w:pPr>
        <w:pStyle w:val="KBOHeading1"/>
      </w:pPr>
      <w:r>
        <w:t>2. Methods</w:t>
      </w:r>
    </w:p>
    <w:p w14:paraId="30B4C1E1" w14:textId="265983A4" w:rsidR="00395509" w:rsidRDefault="0012022A">
      <w:pPr>
        <w:pStyle w:val="KBOHeading2"/>
      </w:pPr>
      <w:r>
        <w:t>2.1. Layered system overview</w:t>
      </w:r>
    </w:p>
    <w:p w14:paraId="217EAF1B" w14:textId="15355EB8" w:rsidR="00395509" w:rsidRDefault="00D14F88">
      <w:pPr>
        <w:pStyle w:val="KBOTextBody"/>
      </w:pPr>
      <w:r w:rsidRPr="00D14F88">
        <w:t xml:space="preserve">Figure 1 shows the six-layer architecture. The Presentation Layer (React 19 / Next.js 16, bilingual EN/RO) exposes three control-room tabs. The API &amp; Service Layer comprises typed Next.js route handlers </w:t>
      </w:r>
      <w:r w:rsidRPr="00D14F88">
        <w:lastRenderedPageBreak/>
        <w:t>under /</w:t>
      </w:r>
      <w:proofErr w:type="spellStart"/>
      <w:r w:rsidRPr="00D14F88">
        <w:t>api</w:t>
      </w:r>
      <w:proofErr w:type="spellEnd"/>
      <w:r w:rsidRPr="00D14F88">
        <w:t>/scenario/, /</w:t>
      </w:r>
      <w:proofErr w:type="spellStart"/>
      <w:r w:rsidRPr="00D14F88">
        <w:t>api</w:t>
      </w:r>
      <w:proofErr w:type="spellEnd"/>
      <w:r w:rsidRPr="00D14F88">
        <w:t>/runs/ and /</w:t>
      </w:r>
      <w:proofErr w:type="spellStart"/>
      <w:r w:rsidRPr="00D14F88">
        <w:t>api</w:t>
      </w:r>
      <w:proofErr w:type="spellEnd"/>
      <w:r w:rsidRPr="00D14F88">
        <w:t xml:space="preserve">/results/, structured as REST resources. The Domain Logic Layer (TypeScript modules) encapsulates the scenario builder, sequential job runner, results handler and runtime resolver. The Workflow &amp; Optimisation Layer is Python: </w:t>
      </w:r>
      <w:proofErr w:type="gramStart"/>
      <w:r w:rsidRPr="00D14F88">
        <w:t>a</w:t>
      </w:r>
      <w:proofErr w:type="gramEnd"/>
      <w:r w:rsidRPr="00D14F88">
        <w:t xml:space="preserve"> </w:t>
      </w:r>
      <w:proofErr w:type="spellStart"/>
      <w:r w:rsidRPr="00D14F88">
        <w:t>Snakemake</w:t>
      </w:r>
      <w:proofErr w:type="spellEnd"/>
      <w:r w:rsidRPr="00D14F88">
        <w:t xml:space="preserve"> DAG orchestrates data retrieval, network assembly and solver invocation, with a </w:t>
      </w:r>
      <w:r w:rsidRPr="00D14F88">
        <w:t xml:space="preserve">dedicated stress-test module injecting shocks and linear constraints before optimisation. The Persistence Layer holds generated YAML configurations, job state and logs, with results materialised under results/{name}/. The External Data Layer ingests ECMWF ERA5 reanalysis, </w:t>
      </w:r>
      <w:proofErr w:type="spellStart"/>
      <w:r w:rsidRPr="00D14F88">
        <w:t>Zenodo</w:t>
      </w:r>
      <w:proofErr w:type="spellEnd"/>
      <w:r w:rsidRPr="00D14F88">
        <w:t xml:space="preserve"> datasets, ENTSO-E TYNDP outputs and GADM/NUTS administrative boundaries.</w:t>
      </w:r>
    </w:p>
    <w:p w14:paraId="15D08486" w14:textId="77777777" w:rsidR="00E2357B" w:rsidRDefault="00E2357B" w:rsidP="0069067C">
      <w:pPr>
        <w:pStyle w:val="KBOFigure"/>
        <w:sectPr w:rsidR="00E2357B" w:rsidSect="000270E0">
          <w:type w:val="continuous"/>
          <w:pgSz w:w="11907" w:h="16840" w:code="9"/>
          <w:pgMar w:top="1418" w:right="1418" w:bottom="1418" w:left="1418" w:header="1418" w:footer="1134" w:gutter="0"/>
          <w:cols w:num="2" w:space="567"/>
          <w:titlePg/>
          <w:docGrid w:linePitch="360"/>
        </w:sectPr>
      </w:pPr>
    </w:p>
    <w:p w14:paraId="684560BF" w14:textId="77777777" w:rsidR="000270E0" w:rsidRDefault="000270E0" w:rsidP="0069067C">
      <w:pPr>
        <w:pStyle w:val="KBOFigure"/>
        <w:sectPr w:rsidR="000270E0" w:rsidSect="00E2357B">
          <w:type w:val="continuous"/>
          <w:pgSz w:w="11907" w:h="16840" w:code="9"/>
          <w:pgMar w:top="1418" w:right="1418" w:bottom="1418" w:left="1418" w:header="1418" w:footer="1134" w:gutter="0"/>
          <w:cols w:space="720"/>
          <w:titlePg/>
          <w:docGrid w:linePitch="360"/>
        </w:sectPr>
      </w:pPr>
    </w:p>
    <w:p w14:paraId="14105489" w14:textId="049A5E40" w:rsidR="00395509" w:rsidRDefault="0069067C" w:rsidP="0069067C">
      <w:pPr>
        <w:pStyle w:val="KBOFigure"/>
      </w:pPr>
      <w:r>
        <w:drawing>
          <wp:inline distT="0" distB="0" distL="0" distR="0" wp14:anchorId="311E7AD8" wp14:editId="5C9ABF5D">
            <wp:extent cx="5760085" cy="3884930"/>
            <wp:effectExtent l="0" t="0" r="0" b="0"/>
            <wp:docPr id="134713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3238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C850" w14:textId="77777777" w:rsidR="00395509" w:rsidRDefault="00000000" w:rsidP="0069067C">
      <w:pPr>
        <w:pStyle w:val="KBOCaptionFigure"/>
      </w:pPr>
      <w:r>
        <w:t>Figure 1: Six-layer architecture of the PyPSA-Eur Romania platform. Source: authors, derived from the project codebase.</w:t>
      </w:r>
    </w:p>
    <w:p w14:paraId="7B78CDD6" w14:textId="77777777" w:rsidR="00E2357B" w:rsidRDefault="00E2357B">
      <w:pPr>
        <w:pStyle w:val="KBOHeading2"/>
        <w:sectPr w:rsidR="00E2357B" w:rsidSect="00E2357B">
          <w:type w:val="continuous"/>
          <w:pgSz w:w="11907" w:h="16840" w:code="9"/>
          <w:pgMar w:top="1418" w:right="1418" w:bottom="1418" w:left="1418" w:header="1418" w:footer="1134" w:gutter="0"/>
          <w:cols w:space="720"/>
          <w:titlePg/>
          <w:docGrid w:linePitch="360"/>
        </w:sectPr>
      </w:pPr>
    </w:p>
    <w:p w14:paraId="611C75E9" w14:textId="73CB7B16" w:rsidR="00395509" w:rsidRDefault="0012022A">
      <w:pPr>
        <w:pStyle w:val="KBOHeading2"/>
      </w:pPr>
      <w:r>
        <w:t>2.2. The seven-CSV result contract</w:t>
      </w:r>
    </w:p>
    <w:p w14:paraId="1BE4451D" w14:textId="44363A5A" w:rsidR="00395509" w:rsidRDefault="00D14F88">
      <w:pPr>
        <w:pStyle w:val="KBOTextBody"/>
      </w:pPr>
      <w:r w:rsidRPr="00D14F88">
        <w:t xml:space="preserve">The interoperability claim hinges on a deterministic result contract. Every paired comparison must produce exactly seven CSVs: </w:t>
      </w:r>
      <w:proofErr w:type="spellStart"/>
      <w:r w:rsidRPr="00D14F88">
        <w:t>system_cost_comparison</w:t>
      </w:r>
      <w:proofErr w:type="spellEnd"/>
      <w:r w:rsidRPr="00D14F88">
        <w:t xml:space="preserve">, </w:t>
      </w:r>
      <w:proofErr w:type="spellStart"/>
      <w:r w:rsidRPr="00D14F88">
        <w:t>generation_mix_mwh</w:t>
      </w:r>
      <w:proofErr w:type="spellEnd"/>
      <w:r w:rsidRPr="00D14F88">
        <w:t xml:space="preserve">, </w:t>
      </w:r>
      <w:proofErr w:type="spellStart"/>
      <w:r w:rsidRPr="00D14F88">
        <w:t>lmp_summary_ro</w:t>
      </w:r>
      <w:proofErr w:type="spellEnd"/>
      <w:r w:rsidRPr="00D14F88">
        <w:t xml:space="preserve">, </w:t>
      </w:r>
      <w:proofErr w:type="spellStart"/>
      <w:r w:rsidRPr="00D14F88">
        <w:t>ens_summary</w:t>
      </w:r>
      <w:proofErr w:type="spellEnd"/>
      <w:r w:rsidRPr="00D14F88">
        <w:t xml:space="preserve">, </w:t>
      </w:r>
      <w:proofErr w:type="spellStart"/>
      <w:r w:rsidRPr="00D14F88">
        <w:t>curtailment_mwh</w:t>
      </w:r>
      <w:proofErr w:type="spellEnd"/>
      <w:r w:rsidRPr="00D14F88">
        <w:t xml:space="preserve">, </w:t>
      </w:r>
      <w:proofErr w:type="spellStart"/>
      <w:r w:rsidRPr="00D14F88">
        <w:t>daily_net_imports_mwh</w:t>
      </w:r>
      <w:proofErr w:type="spellEnd"/>
      <w:r w:rsidRPr="00D14F88">
        <w:t xml:space="preserve"> and </w:t>
      </w:r>
      <w:proofErr w:type="spellStart"/>
      <w:r w:rsidRPr="00D14F88">
        <w:t>interconnector_flow_congestion</w:t>
      </w:r>
      <w:proofErr w:type="spellEnd"/>
      <w:r w:rsidRPr="00D14F88">
        <w:t xml:space="preserve">. The dashboard hides any folder lacking one of these files, so downstream tools never confront partial outputs. Optional artefacts (markdown assumptions, PNG figures, </w:t>
      </w:r>
      <w:proofErr w:type="spellStart"/>
      <w:r w:rsidRPr="00D14F88">
        <w:t>drawio</w:t>
      </w:r>
      <w:proofErr w:type="spellEnd"/>
      <w:r w:rsidRPr="00D14F88">
        <w:t xml:space="preserve"> diagrams, SVG exports) are surfaced when present but not required for validity.</w:t>
      </w:r>
    </w:p>
    <w:p w14:paraId="1F3C185E" w14:textId="41738606" w:rsidR="00395509" w:rsidRDefault="0012022A">
      <w:pPr>
        <w:pStyle w:val="KBOHeading2"/>
      </w:pPr>
      <w:r>
        <w:t>2.3. Scenario lifecycle</w:t>
      </w:r>
    </w:p>
    <w:p w14:paraId="5F7F95C7" w14:textId="3E7D6ED4" w:rsidR="00395509" w:rsidRDefault="00D14F88">
      <w:pPr>
        <w:pStyle w:val="KBOTextBody"/>
      </w:pPr>
      <w:r w:rsidRPr="00D14F88">
        <w:t xml:space="preserve">Figure 2 traces the scenario lifecycle. The user configures runs through form controls or YAML editing (kept in sync). On enqueue, two YAML configurations are </w:t>
      </w:r>
      <w:proofErr w:type="gramStart"/>
      <w:r w:rsidRPr="00D14F88">
        <w:t>written  a</w:t>
      </w:r>
      <w:proofErr w:type="gramEnd"/>
      <w:r w:rsidRPr="00D14F88">
        <w:t xml:space="preserve"> baseline (stress disabled) and a scenario (stress </w:t>
      </w:r>
      <w:proofErr w:type="gramStart"/>
      <w:r w:rsidRPr="00D14F88">
        <w:t>enabled)  persisted</w:t>
      </w:r>
      <w:proofErr w:type="gramEnd"/>
      <w:r w:rsidRPr="00D14F88">
        <w:t xml:space="preserve"> and added to a sequential runner. </w:t>
      </w:r>
      <w:proofErr w:type="spellStart"/>
      <w:r w:rsidRPr="00D14F88">
        <w:t>Snakemake</w:t>
      </w:r>
      <w:proofErr w:type="spellEnd"/>
      <w:r w:rsidRPr="00D14F88">
        <w:t xml:space="preserve"> then solves baseline and shocked </w:t>
      </w:r>
      <w:proofErr w:type="gramStart"/>
      <w:r w:rsidRPr="00D14F88">
        <w:t>scenario, and</w:t>
      </w:r>
      <w:proofErr w:type="gramEnd"/>
      <w:r w:rsidRPr="00D14F88">
        <w:t xml:space="preserve"> runs a comparison report. Baseline solves typically complete in 7-15 minutes; </w:t>
      </w:r>
      <w:r w:rsidRPr="00D14F88">
        <w:lastRenderedPageBreak/>
        <w:t xml:space="preserve">paired runs with comparison in 20-25 minutes on a developer laptop at 20 clusters, </w:t>
      </w:r>
      <w:r w:rsidRPr="00D14F88">
        <w:t>hourly resolution.</w:t>
      </w:r>
    </w:p>
    <w:p w14:paraId="647D7DAE" w14:textId="77777777" w:rsidR="00E2357B" w:rsidRDefault="00E2357B" w:rsidP="0069067C">
      <w:pPr>
        <w:pStyle w:val="KBOFigure"/>
        <w:sectPr w:rsidR="00E2357B" w:rsidSect="000270E0">
          <w:type w:val="continuous"/>
          <w:pgSz w:w="11907" w:h="16840" w:code="9"/>
          <w:pgMar w:top="1418" w:right="1418" w:bottom="1418" w:left="1418" w:header="1418" w:footer="1134" w:gutter="0"/>
          <w:cols w:num="2" w:space="567"/>
          <w:titlePg/>
          <w:docGrid w:linePitch="360"/>
        </w:sectPr>
      </w:pPr>
    </w:p>
    <w:p w14:paraId="712B5993" w14:textId="77777777" w:rsidR="000270E0" w:rsidRDefault="000270E0" w:rsidP="0069067C">
      <w:pPr>
        <w:pStyle w:val="KBOFigure"/>
        <w:sectPr w:rsidR="000270E0" w:rsidSect="000270E0">
          <w:type w:val="continuous"/>
          <w:pgSz w:w="11907" w:h="16840" w:code="9"/>
          <w:pgMar w:top="1418" w:right="1418" w:bottom="1418" w:left="1418" w:header="1418" w:footer="1134" w:gutter="0"/>
          <w:cols w:num="2" w:space="720"/>
          <w:titlePg/>
          <w:docGrid w:linePitch="360"/>
        </w:sectPr>
      </w:pPr>
    </w:p>
    <w:p w14:paraId="7E0F7084" w14:textId="77777777" w:rsidR="000270E0" w:rsidRDefault="000270E0" w:rsidP="0069067C">
      <w:pPr>
        <w:pStyle w:val="KBOFigure"/>
        <w:sectPr w:rsidR="000270E0" w:rsidSect="00E2357B">
          <w:type w:val="continuous"/>
          <w:pgSz w:w="11907" w:h="16840" w:code="9"/>
          <w:pgMar w:top="1418" w:right="1418" w:bottom="1418" w:left="1418" w:header="1418" w:footer="1134" w:gutter="0"/>
          <w:cols w:space="720"/>
          <w:titlePg/>
          <w:docGrid w:linePitch="360"/>
        </w:sectPr>
      </w:pPr>
    </w:p>
    <w:p w14:paraId="3CA1E602" w14:textId="5F09D710" w:rsidR="00395509" w:rsidRDefault="0069067C" w:rsidP="0069067C">
      <w:pPr>
        <w:pStyle w:val="KBOFigure"/>
      </w:pPr>
      <w:r>
        <w:drawing>
          <wp:inline distT="0" distB="0" distL="0" distR="0" wp14:anchorId="178C6884" wp14:editId="6CFF30CD">
            <wp:extent cx="5760085" cy="2706370"/>
            <wp:effectExtent l="0" t="0" r="0" b="0"/>
            <wp:docPr id="229543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4318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B817" w14:textId="77777777" w:rsidR="00395509" w:rsidRDefault="00000000" w:rsidP="0069067C">
      <w:pPr>
        <w:pStyle w:val="KBOCaptionFigure"/>
      </w:pPr>
      <w:r>
        <w:t>Figure 2: Stress-test scenario lifecycle from form input to comparable result, with the five shock channels exposed by the dashboard. Source: authors.</w:t>
      </w:r>
    </w:p>
    <w:p w14:paraId="3D4B6EA0" w14:textId="77777777" w:rsidR="00E2357B" w:rsidRDefault="00E2357B">
      <w:pPr>
        <w:pStyle w:val="KBOHeading2"/>
        <w:sectPr w:rsidR="00E2357B" w:rsidSect="00E2357B">
          <w:type w:val="continuous"/>
          <w:pgSz w:w="11907" w:h="16840" w:code="9"/>
          <w:pgMar w:top="1418" w:right="1418" w:bottom="1418" w:left="1418" w:header="1418" w:footer="1134" w:gutter="0"/>
          <w:cols w:space="720"/>
          <w:titlePg/>
          <w:docGrid w:linePitch="360"/>
        </w:sectPr>
      </w:pPr>
    </w:p>
    <w:p w14:paraId="1F000A46" w14:textId="1E854624" w:rsidR="00395509" w:rsidRDefault="0012022A">
      <w:pPr>
        <w:pStyle w:val="KBOHeading2"/>
      </w:pPr>
      <w:r>
        <w:t>2.4. Stress-test taxonomy</w:t>
      </w:r>
    </w:p>
    <w:p w14:paraId="67A71A84" w14:textId="77777777" w:rsidR="000270E0" w:rsidRDefault="000270E0">
      <w:pPr>
        <w:pStyle w:val="KBOTextBody"/>
        <w:sectPr w:rsidR="000270E0" w:rsidSect="00BE0262">
          <w:type w:val="continuous"/>
          <w:pgSz w:w="11907" w:h="16840" w:code="9"/>
          <w:pgMar w:top="1418" w:right="1418" w:bottom="1418" w:left="1418" w:header="1418" w:footer="1134" w:gutter="0"/>
          <w:cols w:num="2" w:space="720"/>
          <w:titlePg/>
          <w:docGrid w:linePitch="360"/>
        </w:sectPr>
      </w:pPr>
    </w:p>
    <w:p w14:paraId="5F96D095" w14:textId="115D998C" w:rsidR="00395509" w:rsidRDefault="00D14F88">
      <w:pPr>
        <w:pStyle w:val="KBOTextBody"/>
      </w:pPr>
      <w:r w:rsidRPr="00D14F88">
        <w:t>The shock toolkit is compact and orthogonal so that combinations are interpretable. Five channels are exposed: a load multiplier on demand, a hydro reduction coefficient, a gas capacity reduction, a SCADA proxy enabling ramp</w:t>
      </w:r>
      <w:r w:rsidR="000270E0">
        <w:t>-</w:t>
      </w:r>
      <w:r w:rsidRPr="00D14F88">
        <w:t>rate constraints on controllable generators, and a directional import cap on cross-border interconnectors. Each shock is applied either before optimisation (load and capacity scaling) or as linear constraints, leaving the solver core unchanged.</w:t>
      </w:r>
    </w:p>
    <w:p w14:paraId="536D6238" w14:textId="77777777" w:rsidR="00E2357B" w:rsidRDefault="00E2357B">
      <w:pPr>
        <w:pStyle w:val="KBOHeading1"/>
        <w:sectPr w:rsidR="00E2357B" w:rsidSect="00BE0262">
          <w:type w:val="continuous"/>
          <w:pgSz w:w="11907" w:h="16840" w:code="9"/>
          <w:pgMar w:top="1418" w:right="1418" w:bottom="1418" w:left="1418" w:header="1418" w:footer="1134" w:gutter="0"/>
          <w:cols w:num="2" w:space="720"/>
          <w:titlePg/>
          <w:docGrid w:linePitch="360"/>
        </w:sectPr>
      </w:pPr>
    </w:p>
    <w:p w14:paraId="57DEE3D8" w14:textId="382909A5" w:rsidR="00395509" w:rsidRDefault="0012022A">
      <w:pPr>
        <w:pStyle w:val="KBOHeading1"/>
      </w:pPr>
      <w:r>
        <w:t>3. Results</w:t>
      </w:r>
    </w:p>
    <w:p w14:paraId="1CD7C1AB" w14:textId="22FF6AAE" w:rsidR="00395509" w:rsidRDefault="0012022A">
      <w:pPr>
        <w:pStyle w:val="KBOHeading2"/>
      </w:pPr>
      <w:r>
        <w:t>3.1. Romania winter case study set-up</w:t>
      </w:r>
    </w:p>
    <w:p w14:paraId="1C2D7BB0" w14:textId="28FC6548" w:rsidR="00395509" w:rsidRDefault="00D14F88">
      <w:pPr>
        <w:pStyle w:val="KBOTextBody"/>
      </w:pPr>
      <w:r w:rsidRPr="00D14F88">
        <w:t xml:space="preserve">We instantiate a stress-test mirroring the CER Directive's national risk assessment process. The simulated week is 15-22 January </w:t>
      </w:r>
      <w:proofErr w:type="gramStart"/>
      <w:r w:rsidRPr="00D14F88">
        <w:t>2023  a</w:t>
      </w:r>
      <w:proofErr w:type="gramEnd"/>
      <w:r w:rsidRPr="00D14F88">
        <w:t xml:space="preserve"> real winter cold-snap week reflected in ERA</w:t>
      </w:r>
      <w:proofErr w:type="gramStart"/>
      <w:r w:rsidRPr="00D14F88">
        <w:t>5  modelled</w:t>
      </w:r>
      <w:proofErr w:type="gramEnd"/>
      <w:r w:rsidRPr="00D14F88">
        <w:t xml:space="preserve"> at 20 spatial clusters covering Romania (RO) plus interconnection partners Bulgaria (BG), Hungary (HU) and Serbia (RS). Shocks apply only to Romania. The stressed scenario </w:t>
      </w:r>
      <w:proofErr w:type="gramStart"/>
      <w:r w:rsidRPr="00D14F88">
        <w:t>applies:</w:t>
      </w:r>
      <w:proofErr w:type="gramEnd"/>
      <w:r w:rsidRPr="00D14F88">
        <w:t xml:space="preserve"> load multiplier 1.30 (30% demand surge), hydro reduction 0.10, gas capacity reduction 0.20, SCADA proxy enabled (ramp-rate ≈15% of nominal capacity per hour), and a 0 MWh import cap on every cross-border </w:t>
      </w:r>
      <w:proofErr w:type="gramStart"/>
      <w:r w:rsidRPr="00D14F88">
        <w:t>interconnector  complete</w:t>
      </w:r>
      <w:proofErr w:type="gramEnd"/>
      <w:r w:rsidRPr="00D14F88">
        <w:t xml:space="preserve"> electrical isolation of Romania.</w:t>
      </w:r>
    </w:p>
    <w:p w14:paraId="4D031BFA" w14:textId="77777777" w:rsidR="00035A4F" w:rsidRDefault="00035A4F">
      <w:pPr>
        <w:pStyle w:val="KBOTextBody"/>
      </w:pPr>
    </w:p>
    <w:p w14:paraId="17EEDC1E" w14:textId="5E52F83E" w:rsidR="00395509" w:rsidRDefault="0012022A">
      <w:pPr>
        <w:pStyle w:val="KBOHeading2"/>
      </w:pPr>
      <w:r>
        <w:t>3.2. Quantitative results</w:t>
      </w:r>
    </w:p>
    <w:p w14:paraId="417F21D2" w14:textId="0C09078D" w:rsidR="00395509" w:rsidRDefault="00D14F88">
      <w:pPr>
        <w:pStyle w:val="KBOTextBody"/>
      </w:pPr>
      <w:r w:rsidRPr="00D14F88">
        <w:t xml:space="preserve">The stressed scenario produces a cost delta of approximately +570 M EUR over the eight-day </w:t>
      </w:r>
      <w:proofErr w:type="gramStart"/>
      <w:r w:rsidRPr="00D14F88">
        <w:t>window  a</w:t>
      </w:r>
      <w:proofErr w:type="gramEnd"/>
      <w:r w:rsidRPr="00D14F88">
        <w:t xml:space="preserve"> 31% increase driven by displacement of imports with costly domestic generation. Energy not served reaches roughly 45.2 GWh in Romania, concentrated in evening-peak hours and northern regions; neighbour countries are unaffected since the shock is unilateral. Mean locational marginal prices more than double, with peaks rising from 180 EUR/MWh to 380 EUR/MWh. Generation mix shifts as expected: nuclear and renewables remain saturated at baseline (weather is fixed); gas attempts to compensate but is bounded by capacity reduction and ramp constraints; coal </w:t>
      </w:r>
      <w:r w:rsidRPr="00D14F88">
        <w:lastRenderedPageBreak/>
        <w:t>increases but does not cover the gap. Daily net imports collapse to zero by construction.</w:t>
      </w:r>
    </w:p>
    <w:p w14:paraId="5BA98832" w14:textId="77777777" w:rsidR="00035A4F" w:rsidRDefault="00035A4F">
      <w:pPr>
        <w:pStyle w:val="KBOTextBody"/>
      </w:pPr>
    </w:p>
    <w:p w14:paraId="45415499" w14:textId="154CFB5B" w:rsidR="00395509" w:rsidRDefault="0012022A">
      <w:pPr>
        <w:pStyle w:val="KBOHeading2"/>
      </w:pPr>
      <w:r>
        <w:t>3.3. Interpretation</w:t>
      </w:r>
    </w:p>
    <w:p w14:paraId="76574D37" w14:textId="5344DB06" w:rsidR="00395509" w:rsidRDefault="00D14F88">
      <w:pPr>
        <w:pStyle w:val="KBOTextBody"/>
      </w:pPr>
      <w:r w:rsidRPr="00D14F88">
        <w:t xml:space="preserve">The case study is an order-of-magnitude envelope, not a prediction. Three conclusions follow. First, even mild simultaneous derating combined with </w:t>
      </w:r>
      <w:proofErr w:type="gramStart"/>
      <w:r w:rsidRPr="00D14F88">
        <w:t>a 30% demand spike triggers blackouts</w:t>
      </w:r>
      <w:proofErr w:type="gramEnd"/>
      <w:r w:rsidRPr="00D14F88">
        <w:t xml:space="preserve"> under cross-border isolation despite Romania's domestic baseload. Second, the problem concentrates in evening-peak hours and northern regions, so demand-flexibility programmes and targeted storage have asymmetric leverage. Third, the cost of cross-border </w:t>
      </w:r>
      <w:proofErr w:type="gramStart"/>
      <w:r w:rsidRPr="00D14F88">
        <w:t>isolation  on</w:t>
      </w:r>
      <w:proofErr w:type="gramEnd"/>
      <w:r w:rsidRPr="00D14F88">
        <w:t xml:space="preserve"> the order of 12-15 M EUR per GWh of forgone </w:t>
      </w:r>
      <w:proofErr w:type="gramStart"/>
      <w:r w:rsidRPr="00D14F88">
        <w:t>imports  provides</w:t>
      </w:r>
      <w:proofErr w:type="gramEnd"/>
      <w:r w:rsidRPr="00D14F88">
        <w:t xml:space="preserve"> a quantitative input to the value-of-interconnection discussion required by the TYNDP cycle and the PCI process.</w:t>
      </w:r>
    </w:p>
    <w:p w14:paraId="090EC949" w14:textId="77777777" w:rsidR="0012022A" w:rsidRDefault="0012022A" w:rsidP="0012022A">
      <w:pPr>
        <w:pStyle w:val="KBOHeading1"/>
      </w:pPr>
      <w:r>
        <w:t>4. Discussion</w:t>
      </w:r>
    </w:p>
    <w:p w14:paraId="0E3A3CCE" w14:textId="2FEBEDCE" w:rsidR="00395509" w:rsidRDefault="0012022A" w:rsidP="0012022A">
      <w:pPr>
        <w:pStyle w:val="KBOHeading2"/>
      </w:pPr>
      <w:r w:rsidRPr="0012022A">
        <w:t>4.1. Dual-use applicability</w:t>
      </w:r>
    </w:p>
    <w:p w14:paraId="61FF5951" w14:textId="17F1A5F8" w:rsidR="00395509" w:rsidRDefault="0012022A">
      <w:pPr>
        <w:pStyle w:val="KBOTextBody"/>
      </w:pPr>
      <w:r w:rsidRPr="0012022A">
        <w:t xml:space="preserve">Figure </w:t>
      </w:r>
      <w:r w:rsidR="00D14F88" w:rsidRPr="00D14F88">
        <w:t>3</w:t>
      </w:r>
      <w:r w:rsidRPr="0012022A">
        <w:t xml:space="preserve"> maps the platform across a civilian column, a shared engineering core and a </w:t>
      </w:r>
      <w:r w:rsidRPr="0012022A">
        <w:t>defence/security column. The core is unchanged  identical optimisation engine, data pipeline, YAML grammar and result schema  and differentiation occurs only at the consumption side: civilian uses include net-zero pathway studies, renewables-siting analysis and market design, while defence and security uses include CER-Directive-compliant resilience evidence, hybrid-threat scenario libraries and strategic reserve sizing under ENS envelopes. The shared core is the interoperability surface: anything consumed in one column is reproducible in the other from the same artefacts.</w:t>
      </w:r>
      <w:r w:rsidR="00035A4F">
        <w:t xml:space="preserve"> </w:t>
      </w:r>
      <w:r w:rsidR="00D14F88" w:rsidRPr="00D14F88">
        <w:t>This is what the Recast Dual-Use Regulation contemplates [4]: an openly published codebase is exempt under the public-domain carve-out, while a deployed instance integrating national-confidential data may fall back under control. The architectural response is to separate the orchestration layer (open) from the data layer (operator-controlled), so one codebase serves both purposes.</w:t>
      </w:r>
    </w:p>
    <w:p w14:paraId="265DD45D" w14:textId="77777777" w:rsidR="00E2357B" w:rsidRDefault="00E2357B" w:rsidP="0069067C">
      <w:pPr>
        <w:pStyle w:val="KBOFigure"/>
        <w:sectPr w:rsidR="00E2357B" w:rsidSect="00BE0262">
          <w:type w:val="continuous"/>
          <w:pgSz w:w="11907" w:h="16840" w:code="9"/>
          <w:pgMar w:top="1418" w:right="1418" w:bottom="1418" w:left="1418" w:header="1418" w:footer="1134" w:gutter="0"/>
          <w:cols w:num="2" w:space="720"/>
          <w:titlePg/>
          <w:docGrid w:linePitch="360"/>
        </w:sectPr>
      </w:pPr>
    </w:p>
    <w:p w14:paraId="0AD9E55D" w14:textId="77777777" w:rsidR="000270E0" w:rsidRDefault="000270E0" w:rsidP="0069067C">
      <w:pPr>
        <w:pStyle w:val="KBOFigure"/>
        <w:sectPr w:rsidR="000270E0" w:rsidSect="00D14F88">
          <w:type w:val="continuous"/>
          <w:pgSz w:w="11907" w:h="16840" w:code="9"/>
          <w:pgMar w:top="1418" w:right="1418" w:bottom="1418" w:left="1418" w:header="1418" w:footer="1134" w:gutter="0"/>
          <w:cols w:space="720"/>
          <w:titlePg/>
          <w:docGrid w:linePitch="360"/>
        </w:sectPr>
      </w:pPr>
    </w:p>
    <w:p w14:paraId="6FDF2F55" w14:textId="77777777" w:rsidR="00D14F88" w:rsidRDefault="0069067C" w:rsidP="0069067C">
      <w:pPr>
        <w:pStyle w:val="KBOFigure"/>
        <w:sectPr w:rsidR="00D14F88" w:rsidSect="00D14F88">
          <w:type w:val="continuous"/>
          <w:pgSz w:w="11907" w:h="16840" w:code="9"/>
          <w:pgMar w:top="1418" w:right="1418" w:bottom="1418" w:left="1418" w:header="1418" w:footer="1134" w:gutter="0"/>
          <w:cols w:space="720"/>
          <w:titlePg/>
          <w:docGrid w:linePitch="360"/>
        </w:sectPr>
      </w:pPr>
      <w:r>
        <w:drawing>
          <wp:inline distT="0" distB="0" distL="0" distR="0" wp14:anchorId="2A2A7881" wp14:editId="6A1600D1">
            <wp:extent cx="5234940" cy="3346645"/>
            <wp:effectExtent l="0" t="0" r="0" b="0"/>
            <wp:docPr id="1284391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9123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051" cy="336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5AA9" w14:textId="1DA05004" w:rsidR="00395509" w:rsidRDefault="00395509" w:rsidP="0069067C">
      <w:pPr>
        <w:pStyle w:val="KBOFigure"/>
      </w:pPr>
    </w:p>
    <w:p w14:paraId="78A8BB57" w14:textId="692A2E89" w:rsidR="00875B1F" w:rsidRPr="00875B1F" w:rsidRDefault="00000000" w:rsidP="000270E0">
      <w:pPr>
        <w:pStyle w:val="KBOCaptionFigure"/>
        <w:sectPr w:rsidR="00875B1F" w:rsidRPr="00875B1F" w:rsidSect="00D14F88">
          <w:type w:val="continuous"/>
          <w:pgSz w:w="11907" w:h="16840" w:code="9"/>
          <w:pgMar w:top="1418" w:right="1418" w:bottom="1418" w:left="1418" w:header="1418" w:footer="1134" w:gutter="0"/>
          <w:cols w:space="720"/>
          <w:titlePg/>
          <w:docGrid w:linePitch="360"/>
        </w:sectPr>
      </w:pPr>
      <w:r>
        <w:t xml:space="preserve">Figure </w:t>
      </w:r>
      <w:r w:rsidR="00D14F88" w:rsidRPr="00D14F88">
        <w:t>3</w:t>
      </w:r>
      <w:r>
        <w:t>: Dual-use capability mapping – civilian, shared core and defence/security columns – with aligned EU funding instruments. Source: authors, instruments compiled from official EU work programmes.</w:t>
      </w:r>
    </w:p>
    <w:p w14:paraId="7750A834" w14:textId="77777777" w:rsidR="00875B1F" w:rsidRDefault="00875B1F" w:rsidP="0012022A">
      <w:pPr>
        <w:pStyle w:val="KBOHeading2"/>
      </w:pPr>
    </w:p>
    <w:p w14:paraId="16255F32" w14:textId="77777777" w:rsidR="009D7329" w:rsidRDefault="009D7329" w:rsidP="009D7329">
      <w:pPr>
        <w:pStyle w:val="KBOTextBody"/>
      </w:pPr>
    </w:p>
    <w:p w14:paraId="4DCE3725" w14:textId="77777777" w:rsidR="009D7329" w:rsidRDefault="009D7329" w:rsidP="009D7329">
      <w:pPr>
        <w:pStyle w:val="KBOTextBody"/>
      </w:pPr>
    </w:p>
    <w:p w14:paraId="09FDBF32" w14:textId="77777777" w:rsidR="009D7329" w:rsidRDefault="009D7329" w:rsidP="009D7329">
      <w:pPr>
        <w:pStyle w:val="KBOTextBody"/>
      </w:pPr>
    </w:p>
    <w:p w14:paraId="1EBD37BD" w14:textId="77777777" w:rsidR="009D7329" w:rsidRDefault="009D7329" w:rsidP="009D7329">
      <w:pPr>
        <w:pStyle w:val="KBOTextBody"/>
      </w:pPr>
    </w:p>
    <w:p w14:paraId="08A4744B" w14:textId="46C78233" w:rsidR="009D7329" w:rsidRPr="009D7329" w:rsidRDefault="009D7329" w:rsidP="009D7329">
      <w:pPr>
        <w:pStyle w:val="KBOTextBody"/>
        <w:sectPr w:rsidR="009D7329" w:rsidRPr="009D7329" w:rsidSect="000270E0">
          <w:type w:val="continuous"/>
          <w:pgSz w:w="11907" w:h="16840" w:code="9"/>
          <w:pgMar w:top="1418" w:right="1418" w:bottom="1418" w:left="1418" w:header="1418" w:footer="1134" w:gutter="0"/>
          <w:cols w:num="2" w:space="720"/>
          <w:titlePg/>
          <w:docGrid w:linePitch="360"/>
        </w:sectPr>
      </w:pPr>
    </w:p>
    <w:p w14:paraId="5A7DAC04" w14:textId="109F892F" w:rsidR="00395509" w:rsidRDefault="00035A4F" w:rsidP="0012022A">
      <w:pPr>
        <w:pStyle w:val="KBOHeading2"/>
      </w:pPr>
      <w:r>
        <w:t xml:space="preserve">4.2. </w:t>
      </w:r>
      <w:r w:rsidR="0012022A" w:rsidRPr="0012022A">
        <w:t>EU funding alignment</w:t>
      </w:r>
    </w:p>
    <w:p w14:paraId="223D0DA4" w14:textId="71348DB0" w:rsidR="00395509" w:rsidRDefault="00395509">
      <w:pPr>
        <w:pStyle w:val="KBOTextBody"/>
      </w:pPr>
    </w:p>
    <w:p w14:paraId="1B410D8B" w14:textId="5BA3F30A" w:rsidR="00395509" w:rsidRDefault="0012022A">
      <w:pPr>
        <w:pStyle w:val="KBOTextBody"/>
      </w:pPr>
      <w:r>
        <w:t xml:space="preserve">Four EU instruments align with platform outputs. Horizon Europe Cluster 5 (Climate, Energy &amp; Mobility) is the principal R&amp;I instrument funding open energy modelling and explicitly lists "open and interoperable energy system models" as eligible activity [9]; the platform's permissive licensing satisfies its open-science obligations by construction. The European Defence Fund's research strand supports resilience-related work and contemplates dual-use leverage where civilian foundations exist [11], making stress-test envelopes admissible inputs to EDF resilience proposals. The Connecting Europe Facility – Energy funds cross-border interconnectors through the PCI list, and platform outputs on interconnector congestion and net-import deltas feed directly into the CEF/TYNDP cost-benefit framework [12]. Finally, </w:t>
      </w:r>
      <w:proofErr w:type="spellStart"/>
      <w:r>
        <w:t>rescEU</w:t>
      </w:r>
      <w:proofErr w:type="spellEnd"/>
      <w:r>
        <w:t xml:space="preserve"> under the Union Civil Protection Mechanism backs preparedness exercises including energy-supply contingencies, and the 2024 Critical Raw Materials Act connects storage and grid hardware supply chains to the same resilience agenda [13].</w:t>
      </w:r>
    </w:p>
    <w:p w14:paraId="09426A8D" w14:textId="132EAB52" w:rsidR="00395509" w:rsidRDefault="00000000">
      <w:pPr>
        <w:pStyle w:val="KBOTextBody"/>
      </w:pPr>
      <w:r>
        <w:t xml:space="preserve">A platform that internalises EIF interoperability obligations can </w:t>
      </w:r>
      <w:r w:rsidR="0012022A">
        <w:t xml:space="preserve">therefore </w:t>
      </w:r>
      <w:r>
        <w:t xml:space="preserve">claim eligibility across all four </w:t>
      </w:r>
      <w:r w:rsidR="0012022A">
        <w:t xml:space="preserve">instruments </w:t>
      </w:r>
      <w:r>
        <w:t>without architectural duplication.</w:t>
      </w:r>
    </w:p>
    <w:p w14:paraId="53FE5520" w14:textId="0C270A8A" w:rsidR="00395509" w:rsidRDefault="00D14F88" w:rsidP="00D14F88">
      <w:pPr>
        <w:pStyle w:val="KBOHeading2"/>
      </w:pPr>
      <w:r>
        <w:t>4.3. EIF mapping</w:t>
      </w:r>
    </w:p>
    <w:p w14:paraId="5F14856A" w14:textId="431A4A6B" w:rsidR="00395509" w:rsidRDefault="0012022A">
      <w:pPr>
        <w:pStyle w:val="KBOTextBody"/>
      </w:pPr>
      <w:r w:rsidRPr="0012022A">
        <w:t>The platform satisfies all four EIF layers, and we propose a fifth, cross-cutting governance layer</w:t>
      </w:r>
      <w:r>
        <w:t>.</w:t>
      </w:r>
    </w:p>
    <w:p w14:paraId="314F16B7" w14:textId="24CE6F85" w:rsidR="00395509" w:rsidRDefault="0012022A">
      <w:pPr>
        <w:pStyle w:val="KBOTextBody"/>
      </w:pPr>
      <w:r w:rsidRPr="0012022A">
        <w:t xml:space="preserve">The legal layer is anchored in permissive licensing on </w:t>
      </w:r>
      <w:proofErr w:type="spellStart"/>
      <w:r w:rsidRPr="0012022A">
        <w:t>PyPSA</w:t>
      </w:r>
      <w:proofErr w:type="spellEnd"/>
      <w:r w:rsidRPr="0012022A">
        <w:t>, the dashboard and upstream ECMWF/</w:t>
      </w:r>
      <w:proofErr w:type="spellStart"/>
      <w:r w:rsidRPr="0012022A">
        <w:t>Zenodo</w:t>
      </w:r>
      <w:proofErr w:type="spellEnd"/>
      <w:r w:rsidRPr="0012022A">
        <w:t xml:space="preserve"> data. The organisational layer is reflected in the three-tab UI mapping to RACI roles and in persistent job state documenting who initiated each run. The semantic layer enforces SI units, ISO-3166-1 country codes, ENTSO-E component identifiers and a result schema aligned with TYNDP output expectations. The technical layer relies on YAML for configuration, </w:t>
      </w:r>
      <w:proofErr w:type="spellStart"/>
      <w:r w:rsidRPr="0012022A">
        <w:t>netCDF</w:t>
      </w:r>
      <w:proofErr w:type="spellEnd"/>
      <w:r w:rsidRPr="0012022A">
        <w:t xml:space="preserve"> (CF conventions) for climate inputs, CSV for results and REST/HTTP for the dashboard API. The proposed governance layer bundles persistent state, immutable templates and per-run logs into a verifiable audit envelope, with each result inheriting an assumptions-and-limitations file so policy briefings carry their epistemic provenance forward.</w:t>
      </w:r>
    </w:p>
    <w:p w14:paraId="280E1F23" w14:textId="77777777" w:rsidR="00875B1F" w:rsidRDefault="00875B1F">
      <w:pPr>
        <w:pStyle w:val="KBOTextBody"/>
        <w:sectPr w:rsidR="00875B1F" w:rsidSect="00BE0262">
          <w:type w:val="continuous"/>
          <w:pgSz w:w="11907" w:h="16840" w:code="9"/>
          <w:pgMar w:top="1418" w:right="1418" w:bottom="1418" w:left="1418" w:header="1418" w:footer="1134" w:gutter="0"/>
          <w:cols w:num="2" w:space="720"/>
          <w:titlePg/>
          <w:docGrid w:linePitch="360"/>
        </w:sectPr>
      </w:pPr>
    </w:p>
    <w:p w14:paraId="422730D7" w14:textId="0AEB1EA2" w:rsidR="00395509" w:rsidRDefault="00395509">
      <w:pPr>
        <w:pStyle w:val="KBOTextBody"/>
      </w:pPr>
    </w:p>
    <w:p w14:paraId="21703254" w14:textId="77777777" w:rsidR="00E2357B" w:rsidRDefault="00E2357B">
      <w:pPr>
        <w:pStyle w:val="KBOHeading1"/>
        <w:sectPr w:rsidR="00E2357B" w:rsidSect="009D7329">
          <w:type w:val="continuous"/>
          <w:pgSz w:w="11907" w:h="16840" w:code="9"/>
          <w:pgMar w:top="1418" w:right="1418" w:bottom="1418" w:left="1418" w:header="1418" w:footer="1134" w:gutter="0"/>
          <w:cols w:space="720"/>
          <w:titlePg/>
          <w:docGrid w:linePitch="360"/>
        </w:sectPr>
      </w:pPr>
    </w:p>
    <w:p w14:paraId="1C662C8F" w14:textId="3085D695" w:rsidR="00395509" w:rsidRDefault="0012022A" w:rsidP="0012022A">
      <w:pPr>
        <w:pStyle w:val="KBOHeading2"/>
      </w:pPr>
      <w:r>
        <w:t>4.4. Limitations and future work</w:t>
      </w:r>
    </w:p>
    <w:p w14:paraId="16C83794" w14:textId="57003E22" w:rsidR="00395509" w:rsidRDefault="0012022A">
      <w:pPr>
        <w:pStyle w:val="KBOTextBody"/>
      </w:pPr>
      <w:r w:rsidRPr="0012022A">
        <w:t>Four limitations warrant treatment. The stress-test taxonomy is compact and cannot represent attacker-adaptive components without a game-theoretic extension. The seven-CSV contract is sufficient for single-country studies but will need extension for multi-country assessments. The sequential runner is appropriate for analyst-driven exploration but not for automated parameter sweeps. Finally, the dual-use carve-out is invoked at the codebase level; deployments ingesting classified network parameters must still be assessed under the controlled-list framework.</w:t>
      </w:r>
    </w:p>
    <w:p w14:paraId="1A08E323" w14:textId="38747401" w:rsidR="00395509" w:rsidRDefault="0012022A">
      <w:pPr>
        <w:pStyle w:val="KBOTextBody"/>
      </w:pPr>
      <w:r w:rsidRPr="0012022A">
        <w:t>Future work will integrate adversarial scenarios via cyber-physical co-simulation, harmonise the result schema with EU-funded ontology projects through an RDF/JSON-LD wrapper, and formalise the assumptions-limitations file as a machine-readable provenance object aligned with W3C PROV [14].</w:t>
      </w:r>
    </w:p>
    <w:p w14:paraId="61FE7C4C" w14:textId="2292B58B" w:rsidR="00395509" w:rsidRDefault="0012022A">
      <w:pPr>
        <w:pStyle w:val="KBOHeading1"/>
      </w:pPr>
      <w:r w:rsidRPr="0012022A">
        <w:t>5. Conclusions</w:t>
      </w:r>
    </w:p>
    <w:p w14:paraId="1EB577F2" w14:textId="35429E8D" w:rsidR="00965CBF" w:rsidRPr="00D14F88" w:rsidRDefault="0012022A">
      <w:pPr>
        <w:pStyle w:val="KBOTextBody"/>
      </w:pPr>
      <w:r w:rsidRPr="00D14F88">
        <w:t xml:space="preserve">Returning to the three research questions: (RQ1) the platform demonstrates that an open-source modelling stack can satisfy all four EIF layers when its result schema, configuration grammar and orchestration </w:t>
      </w:r>
      <w:r w:rsidRPr="00D14F88">
        <w:lastRenderedPageBreak/>
        <w:t xml:space="preserve">are designed as contracts rather than artefacts. (RQ2) The codebase qualifies as dual-use under the public-domain carve-out of Regulation (EU) 2021/821 because the same engine serves civilian decarbonisation studies and defence-relevant resilience evidence, with differentiation only at the data and exploitation layer. (RQ3) Horizon Europe Cluster 5, the European Defence Fund, the Connecting Europe Facility and </w:t>
      </w:r>
      <w:proofErr w:type="spellStart"/>
      <w:r w:rsidRPr="00D14F88">
        <w:t>rescEU</w:t>
      </w:r>
      <w:proofErr w:type="spellEnd"/>
      <w:r w:rsidRPr="00D14F88">
        <w:t xml:space="preserve"> each foresee complementary deliverables of this single architecture, so a </w:t>
      </w:r>
      <w:r w:rsidRPr="00D14F88">
        <w:t xml:space="preserve">platform that internalises EIF interoperability obligations is co-fundable across instruments without duplication. We propose that a fifth, cross-cutting governance </w:t>
      </w:r>
      <w:proofErr w:type="gramStart"/>
      <w:r w:rsidRPr="00D14F88">
        <w:t>layer  bundling</w:t>
      </w:r>
      <w:proofErr w:type="gramEnd"/>
      <w:r w:rsidRPr="00D14F88">
        <w:t xml:space="preserve"> persistent state, immutable templates and per-run logs into a verifiable audit </w:t>
      </w:r>
      <w:proofErr w:type="gramStart"/>
      <w:r w:rsidRPr="00D14F88">
        <w:t>envelope  be</w:t>
      </w:r>
      <w:proofErr w:type="gramEnd"/>
      <w:r w:rsidRPr="00D14F88">
        <w:t xml:space="preserve"> added to the EIF for critical-infrastructure modelling, and that civilian-by-design open platforms be made an explicit eligibility criterion in the next work-programme cycle of each instrument.</w:t>
      </w:r>
    </w:p>
    <w:p w14:paraId="0781C935" w14:textId="77777777" w:rsidR="00965CBF" w:rsidRDefault="00965CBF" w:rsidP="00965CBF">
      <w:pPr>
        <w:pStyle w:val="KBOFigure"/>
        <w:sectPr w:rsidR="00965CBF" w:rsidSect="00BE0262">
          <w:type w:val="continuous"/>
          <w:pgSz w:w="11907" w:h="16840" w:code="9"/>
          <w:pgMar w:top="1418" w:right="1418" w:bottom="1418" w:left="1418" w:header="1418" w:footer="1134" w:gutter="0"/>
          <w:cols w:num="2" w:space="720"/>
          <w:titlePg/>
          <w:docGrid w:linePitch="360"/>
        </w:sectPr>
      </w:pPr>
    </w:p>
    <w:p w14:paraId="7BD65344" w14:textId="77777777" w:rsidR="000270E0" w:rsidRDefault="000270E0" w:rsidP="008E406F">
      <w:pPr>
        <w:pStyle w:val="KBOFigure"/>
        <w:jc w:val="both"/>
        <w:sectPr w:rsidR="000270E0" w:rsidSect="009D7329">
          <w:type w:val="continuous"/>
          <w:pgSz w:w="11907" w:h="16840" w:code="9"/>
          <w:pgMar w:top="1418" w:right="1418" w:bottom="1418" w:left="1418" w:header="1418" w:footer="1134" w:gutter="0"/>
          <w:cols w:space="720"/>
          <w:titlePg/>
          <w:docGrid w:linePitch="360"/>
        </w:sectPr>
      </w:pPr>
    </w:p>
    <w:p w14:paraId="12482B18" w14:textId="77777777" w:rsidR="000270E0" w:rsidRDefault="000270E0" w:rsidP="008E406F">
      <w:pPr>
        <w:pStyle w:val="KBOFigure"/>
        <w:jc w:val="both"/>
        <w:sectPr w:rsidR="000270E0" w:rsidSect="009D7329">
          <w:type w:val="continuous"/>
          <w:pgSz w:w="11907" w:h="16840" w:code="9"/>
          <w:pgMar w:top="1418" w:right="1418" w:bottom="1418" w:left="1418" w:header="1418" w:footer="1134" w:gutter="0"/>
          <w:cols w:space="720"/>
          <w:titlePg/>
          <w:docGrid w:linePitch="360"/>
        </w:sectPr>
      </w:pPr>
    </w:p>
    <w:p w14:paraId="449D90C9" w14:textId="77777777" w:rsidR="00965CBF" w:rsidRPr="00965CBF" w:rsidRDefault="00965CBF" w:rsidP="00965CBF">
      <w:pPr>
        <w:sectPr w:rsidR="00965CBF" w:rsidRPr="00965CBF" w:rsidSect="0012022A">
          <w:type w:val="continuous"/>
          <w:pgSz w:w="11907" w:h="16840" w:code="9"/>
          <w:pgMar w:top="1418" w:right="1418" w:bottom="1418" w:left="1418" w:header="1418" w:footer="1134" w:gutter="0"/>
          <w:cols w:num="2" w:space="720"/>
          <w:titlePg/>
          <w:docGrid w:linePitch="360"/>
        </w:sectPr>
      </w:pPr>
    </w:p>
    <w:p w14:paraId="75A6747C" w14:textId="08A8AE0E" w:rsidR="00D04B3E" w:rsidRDefault="00D04B3E" w:rsidP="00965CBF">
      <w:pPr>
        <w:pStyle w:val="KBOFigure"/>
      </w:pPr>
    </w:p>
    <w:p w14:paraId="68478E10" w14:textId="77777777" w:rsidR="00E2357B" w:rsidRDefault="00E2357B">
      <w:pPr>
        <w:pStyle w:val="KBOReferencesCaption"/>
        <w:sectPr w:rsidR="00E2357B" w:rsidSect="00E2357B">
          <w:type w:val="continuous"/>
          <w:pgSz w:w="11907" w:h="16840" w:code="9"/>
          <w:pgMar w:top="1418" w:right="1418" w:bottom="1418" w:left="1418" w:header="1418" w:footer="1134" w:gutter="0"/>
          <w:cols w:num="2" w:space="567"/>
          <w:titlePg/>
          <w:docGrid w:linePitch="360"/>
        </w:sectPr>
      </w:pPr>
    </w:p>
    <w:p w14:paraId="6E316DCB" w14:textId="77777777" w:rsidR="00395509" w:rsidRDefault="00000000">
      <w:pPr>
        <w:pStyle w:val="KBOReferencesCaption"/>
      </w:pPr>
      <w:r>
        <w:t>References</w:t>
      </w:r>
    </w:p>
    <w:p w14:paraId="794DF882" w14:textId="77777777" w:rsidR="00395509" w:rsidRDefault="00000000">
      <w:pPr>
        <w:pStyle w:val="KBOReferences"/>
      </w:pPr>
      <w:r>
        <w:t>[1] European Union Agency for Cybersecurity (ENISA). Threat Landscape for the Energy Sector. Athens: ENISA; 2023.</w:t>
      </w:r>
    </w:p>
    <w:p w14:paraId="3F43857E" w14:textId="77777777" w:rsidR="00395509" w:rsidRDefault="00000000">
      <w:pPr>
        <w:pStyle w:val="KBOReferences"/>
      </w:pPr>
      <w:r>
        <w:t>[2] International Energy Agency. Power Systems in Transition: Challenges and Opportunities Ahead for Electricity Security. Paris: OECD/IEA; 2020.</w:t>
      </w:r>
    </w:p>
    <w:p w14:paraId="1C650CC4" w14:textId="77777777" w:rsidR="00395509" w:rsidRDefault="00000000">
      <w:pPr>
        <w:pStyle w:val="KBOReferences"/>
      </w:pPr>
      <w:r>
        <w:t>[3] European Commission. European Interoperability Framework – Implementation Strategy. COM(2017) 134 final. Brussels: European Commission; 2017.</w:t>
      </w:r>
    </w:p>
    <w:p w14:paraId="6BA77472" w14:textId="77777777" w:rsidR="00395509" w:rsidRDefault="00000000">
      <w:pPr>
        <w:pStyle w:val="KBOReferences"/>
      </w:pPr>
      <w:r>
        <w:t>[4] European Parliament and Council. Regulation (EU) 2021/821 of 20 May 2021 setting up a Union regime for the control of exports, brokering, technical assistance, transit and transfer of dual-use items (recast). Official Journal of the European Union L 206; 11 June 2021.</w:t>
      </w:r>
    </w:p>
    <w:p w14:paraId="122B30EE" w14:textId="77777777" w:rsidR="00395509" w:rsidRDefault="00000000">
      <w:pPr>
        <w:pStyle w:val="KBOReferences"/>
      </w:pPr>
      <w:r>
        <w:t>[5] Hörsch J., Hofmann F., Schlachtberger D., Brown T. PyPSA-Eur: An open optimisation model of the European transmission system. Energy Strategy Reviews. 2018; 22: 207-215.</w:t>
      </w:r>
    </w:p>
    <w:p w14:paraId="1E00C326" w14:textId="77777777" w:rsidR="00395509" w:rsidRDefault="00000000">
      <w:pPr>
        <w:pStyle w:val="KBOReferences"/>
      </w:pPr>
      <w:r>
        <w:t>[6] Breque M., De Nul L., Petridis A. Industry 5.0 – Towards a sustainable, human-centric and resilient European industry. Luxembourg: Publications Office of the European Union; 2021.</w:t>
      </w:r>
    </w:p>
    <w:p w14:paraId="1E4B547C" w14:textId="77777777" w:rsidR="00395509" w:rsidRDefault="00000000">
      <w:pPr>
        <w:pStyle w:val="KBOReferences"/>
      </w:pPr>
      <w:r>
        <w:t>[7] European Parliament and Council. Directive (EU) 2022/2555 of 14 December 2022 on measures for a high common level of cybersecurity across the Union (NIS2). Official Journal of the European Union L 333; 27 December 2022.</w:t>
      </w:r>
    </w:p>
    <w:p w14:paraId="4AF4DE0E" w14:textId="77777777" w:rsidR="00395509" w:rsidRDefault="00000000">
      <w:pPr>
        <w:pStyle w:val="KBOReferences"/>
      </w:pPr>
      <w:r>
        <w:t>[8] European Parliament and Council. Directive (EU) 2022/2557 of 14 December 2022 on the resilience of critical entities. Official Journal of the European Union L 333; 27 December 2022.</w:t>
      </w:r>
    </w:p>
    <w:p w14:paraId="2EF7A417" w14:textId="77777777" w:rsidR="00395509" w:rsidRDefault="00000000">
      <w:pPr>
        <w:pStyle w:val="KBOReferences"/>
      </w:pPr>
      <w:r>
        <w:t>[9] European Commission. Horizon Europe Work Programme 2023-2024 – Cluster 5: Climate, Energy and Mobility. Brussels: European Commission; 2023.</w:t>
      </w:r>
    </w:p>
    <w:p w14:paraId="6D5EDA7F" w14:textId="77777777" w:rsidR="00395509" w:rsidRDefault="00000000">
      <w:pPr>
        <w:pStyle w:val="KBOReferences"/>
      </w:pPr>
      <w:r>
        <w:t>[10] Pfenninger S., Hawkes A., Keirstead J. Energy systems modeling for twenty-first century energy challenges. Renewable and Sustainable Energy Reviews. 2014; 33: 74-86.</w:t>
      </w:r>
    </w:p>
    <w:p w14:paraId="6AF139AA" w14:textId="77777777" w:rsidR="00395509" w:rsidRDefault="00000000">
      <w:pPr>
        <w:pStyle w:val="KBOReferences"/>
      </w:pPr>
      <w:r>
        <w:t>[11] European Commission. European Defence Fund Annual Work Programme 2024. Brussels: European Commission; 2024.</w:t>
      </w:r>
    </w:p>
    <w:p w14:paraId="433E0E97" w14:textId="77777777" w:rsidR="00395509" w:rsidRDefault="00000000">
      <w:pPr>
        <w:pStyle w:val="KBOReferences"/>
      </w:pPr>
      <w:r>
        <w:t>[12] European Network of Transmission System Operators for Electricity (ENTSO-E). Ten-Year Network Development Plan 2024 – Methodology. Brussels: ENTSO-E; 2024.</w:t>
      </w:r>
    </w:p>
    <w:p w14:paraId="3EC29CFC" w14:textId="77777777" w:rsidR="00395509" w:rsidRDefault="00000000">
      <w:pPr>
        <w:pStyle w:val="KBOReferences"/>
      </w:pPr>
      <w:r>
        <w:lastRenderedPageBreak/>
        <w:t>[13] European Parliament and Council. Regulation (EU) 2024/1252 of 11 April 2024 establishing a framework for ensuring a secure and sustainable supply of critical raw materials. Official Journal of the European Union L 173; 22 April 2024.</w:t>
      </w:r>
    </w:p>
    <w:p w14:paraId="4B0D3920" w14:textId="77777777" w:rsidR="00395509" w:rsidRDefault="00000000">
      <w:pPr>
        <w:pStyle w:val="KBOReferences"/>
      </w:pPr>
      <w:r>
        <w:t>[14] World Wide Web Consortium. PROV-O: The PROV Ontology, W3C Recommendation 30 April 2013. Cambridge MA: W3C; 2013.</w:t>
      </w:r>
    </w:p>
    <w:sectPr w:rsidR="00395509" w:rsidSect="00875B1F">
      <w:type w:val="continuous"/>
      <w:pgSz w:w="11907" w:h="16840" w:code="9"/>
      <w:pgMar w:top="1418" w:right="1418" w:bottom="1418" w:left="1418" w:header="1418" w:footer="11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BFC0E" w14:textId="77777777" w:rsidR="003D5111" w:rsidRDefault="003D5111" w:rsidP="005C542B">
      <w:r>
        <w:separator/>
      </w:r>
    </w:p>
  </w:endnote>
  <w:endnote w:type="continuationSeparator" w:id="0">
    <w:p w14:paraId="7D550D2B" w14:textId="77777777" w:rsidR="003D5111" w:rsidRDefault="003D5111" w:rsidP="005C5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E64A8" w14:textId="77777777" w:rsidR="004A2739" w:rsidRDefault="004A27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FF215" w14:textId="77777777" w:rsidR="003074A1" w:rsidRDefault="003074A1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96B1E" w14:textId="77777777" w:rsidR="004A2739" w:rsidRDefault="004A27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BA537" w14:textId="77777777" w:rsidR="003D5111" w:rsidRDefault="003D5111" w:rsidP="005C542B">
      <w:r>
        <w:separator/>
      </w:r>
    </w:p>
  </w:footnote>
  <w:footnote w:type="continuationSeparator" w:id="0">
    <w:p w14:paraId="3CB784E6" w14:textId="77777777" w:rsidR="003D5111" w:rsidRDefault="003D5111" w:rsidP="005C5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60F0D" w14:textId="77777777" w:rsidR="004A2739" w:rsidRDefault="004A27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AFA21" w14:textId="77777777" w:rsidR="004A2739" w:rsidRDefault="004A27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F6BE5" w14:textId="77777777" w:rsidR="00156D00" w:rsidRPr="00204B55" w:rsidRDefault="00156D00" w:rsidP="00156D00">
    <w:pPr>
      <w:pStyle w:val="Header"/>
      <w:ind w:left="-1622" w:firstLine="1559"/>
      <w:jc w:val="center"/>
    </w:pPr>
    <w:r w:rsidRPr="00204B55">
      <w:t>International Conference KNOWLEDGE-BASED ORGANIZATION</w:t>
    </w:r>
  </w:p>
  <w:p w14:paraId="7EFACDDC" w14:textId="77777777" w:rsidR="003074A1" w:rsidRDefault="00156D00" w:rsidP="00156D00">
    <w:pPr>
      <w:jc w:val="center"/>
    </w:pPr>
    <w:r w:rsidRPr="00204B55">
      <w:t xml:space="preserve">Vol. </w:t>
    </w:r>
    <w:r w:rsidRPr="00204B55">
      <w:softHyphen/>
    </w:r>
    <w:r w:rsidRPr="00204B55">
      <w:softHyphen/>
    </w:r>
    <w:r w:rsidRPr="00204B55">
      <w:softHyphen/>
    </w:r>
    <w:r w:rsidRPr="00204B55">
      <w:softHyphen/>
    </w:r>
    <w:r w:rsidRPr="00204B55">
      <w:softHyphen/>
    </w:r>
    <w:r w:rsidRPr="00204B55">
      <w:softHyphen/>
    </w:r>
    <w:r w:rsidRPr="00204B55">
      <w:softHyphen/>
    </w:r>
    <w:r w:rsidRPr="00204B55">
      <w:softHyphen/>
    </w:r>
    <w:r w:rsidRPr="00204B55">
      <w:softHyphen/>
      <w:t>XX</w:t>
    </w:r>
    <w:r>
      <w:t>XII</w:t>
    </w:r>
    <w:r w:rsidRPr="00204B55">
      <w:t xml:space="preserve">            No                20</w:t>
    </w:r>
    <w:r>
      <w:t>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C5E7F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712FF6"/>
    <w:multiLevelType w:val="hybridMultilevel"/>
    <w:tmpl w:val="4D9261AA"/>
    <w:lvl w:ilvl="0" w:tplc="533467DC">
      <w:start w:val="1"/>
      <w:numFmt w:val="decimal"/>
      <w:lvlText w:val="[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581E06"/>
    <w:multiLevelType w:val="hybridMultilevel"/>
    <w:tmpl w:val="68305B44"/>
    <w:lvl w:ilvl="0" w:tplc="B39A8D18">
      <w:numFmt w:val="bullet"/>
      <w:lvlText w:val="-"/>
      <w:lvlJc w:val="left"/>
      <w:pPr>
        <w:ind w:left="36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E124B"/>
    <w:multiLevelType w:val="multilevel"/>
    <w:tmpl w:val="0AE0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D0C14"/>
    <w:multiLevelType w:val="hybridMultilevel"/>
    <w:tmpl w:val="1DE43770"/>
    <w:lvl w:ilvl="0" w:tplc="533467D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4E5FEA"/>
    <w:multiLevelType w:val="hybridMultilevel"/>
    <w:tmpl w:val="BD26F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6427C"/>
    <w:multiLevelType w:val="hybridMultilevel"/>
    <w:tmpl w:val="89285A30"/>
    <w:lvl w:ilvl="0" w:tplc="69984798">
      <w:start w:val="1"/>
      <w:numFmt w:val="bullet"/>
      <w:lvlText w:val=""/>
      <w:lvlJc w:val="left"/>
      <w:pPr>
        <w:ind w:left="246" w:hanging="142"/>
      </w:pPr>
      <w:rPr>
        <w:rFonts w:ascii="Symbol" w:eastAsia="Symbol" w:hAnsi="Symbol" w:hint="default"/>
        <w:sz w:val="22"/>
        <w:szCs w:val="22"/>
      </w:rPr>
    </w:lvl>
    <w:lvl w:ilvl="1" w:tplc="E51CF882">
      <w:start w:val="1"/>
      <w:numFmt w:val="bullet"/>
      <w:lvlText w:val="•"/>
      <w:lvlJc w:val="left"/>
      <w:pPr>
        <w:ind w:left="714" w:hanging="142"/>
      </w:pPr>
      <w:rPr>
        <w:rFonts w:hint="default"/>
      </w:rPr>
    </w:lvl>
    <w:lvl w:ilvl="2" w:tplc="53A0738C">
      <w:start w:val="1"/>
      <w:numFmt w:val="bullet"/>
      <w:lvlText w:val="•"/>
      <w:lvlJc w:val="left"/>
      <w:pPr>
        <w:ind w:left="1182" w:hanging="142"/>
      </w:pPr>
      <w:rPr>
        <w:rFonts w:hint="default"/>
      </w:rPr>
    </w:lvl>
    <w:lvl w:ilvl="3" w:tplc="2A5C6794">
      <w:start w:val="1"/>
      <w:numFmt w:val="bullet"/>
      <w:lvlText w:val="•"/>
      <w:lvlJc w:val="left"/>
      <w:pPr>
        <w:ind w:left="1650" w:hanging="142"/>
      </w:pPr>
      <w:rPr>
        <w:rFonts w:hint="default"/>
      </w:rPr>
    </w:lvl>
    <w:lvl w:ilvl="4" w:tplc="07547F78">
      <w:start w:val="1"/>
      <w:numFmt w:val="bullet"/>
      <w:lvlText w:val="•"/>
      <w:lvlJc w:val="left"/>
      <w:pPr>
        <w:ind w:left="2118" w:hanging="142"/>
      </w:pPr>
      <w:rPr>
        <w:rFonts w:hint="default"/>
      </w:rPr>
    </w:lvl>
    <w:lvl w:ilvl="5" w:tplc="A706FDA4">
      <w:start w:val="1"/>
      <w:numFmt w:val="bullet"/>
      <w:lvlText w:val="•"/>
      <w:lvlJc w:val="left"/>
      <w:pPr>
        <w:ind w:left="2586" w:hanging="142"/>
      </w:pPr>
      <w:rPr>
        <w:rFonts w:hint="default"/>
      </w:rPr>
    </w:lvl>
    <w:lvl w:ilvl="6" w:tplc="371CBC22">
      <w:start w:val="1"/>
      <w:numFmt w:val="bullet"/>
      <w:lvlText w:val="•"/>
      <w:lvlJc w:val="left"/>
      <w:pPr>
        <w:ind w:left="3054" w:hanging="142"/>
      </w:pPr>
      <w:rPr>
        <w:rFonts w:hint="default"/>
      </w:rPr>
    </w:lvl>
    <w:lvl w:ilvl="7" w:tplc="DEF27480">
      <w:start w:val="1"/>
      <w:numFmt w:val="bullet"/>
      <w:lvlText w:val="•"/>
      <w:lvlJc w:val="left"/>
      <w:pPr>
        <w:ind w:left="3522" w:hanging="142"/>
      </w:pPr>
      <w:rPr>
        <w:rFonts w:hint="default"/>
      </w:rPr>
    </w:lvl>
    <w:lvl w:ilvl="8" w:tplc="D81AECA2">
      <w:start w:val="1"/>
      <w:numFmt w:val="bullet"/>
      <w:lvlText w:val="•"/>
      <w:lvlJc w:val="left"/>
      <w:pPr>
        <w:ind w:left="3989" w:hanging="142"/>
      </w:pPr>
      <w:rPr>
        <w:rFonts w:hint="default"/>
      </w:rPr>
    </w:lvl>
  </w:abstractNum>
  <w:abstractNum w:abstractNumId="7" w15:restartNumberingAfterBreak="0">
    <w:nsid w:val="5BD53376"/>
    <w:multiLevelType w:val="hybridMultilevel"/>
    <w:tmpl w:val="00AC250C"/>
    <w:lvl w:ilvl="0" w:tplc="533467DC">
      <w:start w:val="1"/>
      <w:numFmt w:val="decimal"/>
      <w:lvlText w:val="[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F32153"/>
    <w:multiLevelType w:val="hybridMultilevel"/>
    <w:tmpl w:val="2C588ACC"/>
    <w:lvl w:ilvl="0" w:tplc="DBB8DD0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05652"/>
    <w:multiLevelType w:val="hybridMultilevel"/>
    <w:tmpl w:val="80CCA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D60B1"/>
    <w:multiLevelType w:val="hybridMultilevel"/>
    <w:tmpl w:val="7C3A59F0"/>
    <w:lvl w:ilvl="0" w:tplc="22E287B6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985F5D"/>
    <w:multiLevelType w:val="multilevel"/>
    <w:tmpl w:val="5BCE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633BE"/>
    <w:multiLevelType w:val="hybridMultilevel"/>
    <w:tmpl w:val="9552059C"/>
    <w:lvl w:ilvl="0" w:tplc="533467D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615384">
    <w:abstractNumId w:val="12"/>
  </w:num>
  <w:num w:numId="2" w16cid:durableId="413209266">
    <w:abstractNumId w:val="5"/>
  </w:num>
  <w:num w:numId="3" w16cid:durableId="1813212056">
    <w:abstractNumId w:val="2"/>
  </w:num>
  <w:num w:numId="4" w16cid:durableId="900483227">
    <w:abstractNumId w:val="10"/>
  </w:num>
  <w:num w:numId="5" w16cid:durableId="134765395">
    <w:abstractNumId w:val="8"/>
  </w:num>
  <w:num w:numId="6" w16cid:durableId="678892726">
    <w:abstractNumId w:val="9"/>
  </w:num>
  <w:num w:numId="7" w16cid:durableId="882012949">
    <w:abstractNumId w:val="0"/>
  </w:num>
  <w:num w:numId="8" w16cid:durableId="880284939">
    <w:abstractNumId w:val="6"/>
  </w:num>
  <w:num w:numId="9" w16cid:durableId="1569875743">
    <w:abstractNumId w:val="11"/>
  </w:num>
  <w:num w:numId="10" w16cid:durableId="18118949">
    <w:abstractNumId w:val="7"/>
  </w:num>
  <w:num w:numId="11" w16cid:durableId="1783962159">
    <w:abstractNumId w:val="3"/>
  </w:num>
  <w:num w:numId="12" w16cid:durableId="262615051">
    <w:abstractNumId w:val="1"/>
  </w:num>
  <w:num w:numId="13" w16cid:durableId="640042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2B"/>
    <w:rsid w:val="00000FCD"/>
    <w:rsid w:val="00001C3F"/>
    <w:rsid w:val="00006CA2"/>
    <w:rsid w:val="000113D7"/>
    <w:rsid w:val="000270E0"/>
    <w:rsid w:val="00035A4F"/>
    <w:rsid w:val="00042B3D"/>
    <w:rsid w:val="00052073"/>
    <w:rsid w:val="000601F6"/>
    <w:rsid w:val="00061811"/>
    <w:rsid w:val="00064B73"/>
    <w:rsid w:val="00082E52"/>
    <w:rsid w:val="000A1528"/>
    <w:rsid w:val="000A1EE0"/>
    <w:rsid w:val="000A4FF9"/>
    <w:rsid w:val="000A73D3"/>
    <w:rsid w:val="000B045C"/>
    <w:rsid w:val="000E406E"/>
    <w:rsid w:val="000E5977"/>
    <w:rsid w:val="00103E06"/>
    <w:rsid w:val="00106EF0"/>
    <w:rsid w:val="00116B74"/>
    <w:rsid w:val="0012022A"/>
    <w:rsid w:val="00140796"/>
    <w:rsid w:val="00141F18"/>
    <w:rsid w:val="00151830"/>
    <w:rsid w:val="00156D00"/>
    <w:rsid w:val="00167D5F"/>
    <w:rsid w:val="00183357"/>
    <w:rsid w:val="00186DF6"/>
    <w:rsid w:val="001A1198"/>
    <w:rsid w:val="001A79A5"/>
    <w:rsid w:val="001C21AC"/>
    <w:rsid w:val="001D3A87"/>
    <w:rsid w:val="001D71D0"/>
    <w:rsid w:val="001E45D5"/>
    <w:rsid w:val="001F1280"/>
    <w:rsid w:val="00204B55"/>
    <w:rsid w:val="002108F3"/>
    <w:rsid w:val="002153C5"/>
    <w:rsid w:val="00233C39"/>
    <w:rsid w:val="00247D99"/>
    <w:rsid w:val="0026673C"/>
    <w:rsid w:val="00277380"/>
    <w:rsid w:val="002879D6"/>
    <w:rsid w:val="002B7BA3"/>
    <w:rsid w:val="002C4B25"/>
    <w:rsid w:val="002C71D5"/>
    <w:rsid w:val="002F36F9"/>
    <w:rsid w:val="003074A1"/>
    <w:rsid w:val="00322299"/>
    <w:rsid w:val="00327F03"/>
    <w:rsid w:val="00346E80"/>
    <w:rsid w:val="0036358D"/>
    <w:rsid w:val="0036388D"/>
    <w:rsid w:val="003904BF"/>
    <w:rsid w:val="00390C43"/>
    <w:rsid w:val="00395372"/>
    <w:rsid w:val="00395509"/>
    <w:rsid w:val="00397758"/>
    <w:rsid w:val="00397951"/>
    <w:rsid w:val="003B488B"/>
    <w:rsid w:val="003B4CAE"/>
    <w:rsid w:val="003C25E8"/>
    <w:rsid w:val="003C5270"/>
    <w:rsid w:val="003C6885"/>
    <w:rsid w:val="003D3BC0"/>
    <w:rsid w:val="003D5111"/>
    <w:rsid w:val="003D52E4"/>
    <w:rsid w:val="003E1F9A"/>
    <w:rsid w:val="003F1C8E"/>
    <w:rsid w:val="003F7FD7"/>
    <w:rsid w:val="00401DC7"/>
    <w:rsid w:val="00404D10"/>
    <w:rsid w:val="00406366"/>
    <w:rsid w:val="00412972"/>
    <w:rsid w:val="0043239E"/>
    <w:rsid w:val="00451C11"/>
    <w:rsid w:val="0045463D"/>
    <w:rsid w:val="00475664"/>
    <w:rsid w:val="00476382"/>
    <w:rsid w:val="004766D6"/>
    <w:rsid w:val="0048340C"/>
    <w:rsid w:val="00493D23"/>
    <w:rsid w:val="0049724F"/>
    <w:rsid w:val="004A2739"/>
    <w:rsid w:val="004A6D8C"/>
    <w:rsid w:val="004A7A3B"/>
    <w:rsid w:val="004E402F"/>
    <w:rsid w:val="004F6B16"/>
    <w:rsid w:val="0051643D"/>
    <w:rsid w:val="00546DFA"/>
    <w:rsid w:val="00551953"/>
    <w:rsid w:val="005564C4"/>
    <w:rsid w:val="0058218B"/>
    <w:rsid w:val="00593988"/>
    <w:rsid w:val="005A1E50"/>
    <w:rsid w:val="005A532D"/>
    <w:rsid w:val="005A56C7"/>
    <w:rsid w:val="005C542B"/>
    <w:rsid w:val="005C680A"/>
    <w:rsid w:val="005F4594"/>
    <w:rsid w:val="00622874"/>
    <w:rsid w:val="0062432B"/>
    <w:rsid w:val="00625D9C"/>
    <w:rsid w:val="00637F9C"/>
    <w:rsid w:val="00663947"/>
    <w:rsid w:val="00665F65"/>
    <w:rsid w:val="00672E1A"/>
    <w:rsid w:val="006743B5"/>
    <w:rsid w:val="006826C5"/>
    <w:rsid w:val="00685A16"/>
    <w:rsid w:val="0069056D"/>
    <w:rsid w:val="0069067C"/>
    <w:rsid w:val="00692B7E"/>
    <w:rsid w:val="006975C6"/>
    <w:rsid w:val="00697A8B"/>
    <w:rsid w:val="006E5FBE"/>
    <w:rsid w:val="006F57A4"/>
    <w:rsid w:val="007012E5"/>
    <w:rsid w:val="0072196C"/>
    <w:rsid w:val="00724128"/>
    <w:rsid w:val="00724796"/>
    <w:rsid w:val="0072692D"/>
    <w:rsid w:val="00740F83"/>
    <w:rsid w:val="00742250"/>
    <w:rsid w:val="0076158E"/>
    <w:rsid w:val="00773B77"/>
    <w:rsid w:val="007832C4"/>
    <w:rsid w:val="007A7B07"/>
    <w:rsid w:val="007B64E6"/>
    <w:rsid w:val="007C379F"/>
    <w:rsid w:val="007C714D"/>
    <w:rsid w:val="007D16CA"/>
    <w:rsid w:val="007D2509"/>
    <w:rsid w:val="007E1F27"/>
    <w:rsid w:val="007F356D"/>
    <w:rsid w:val="008024E1"/>
    <w:rsid w:val="0080489B"/>
    <w:rsid w:val="00805297"/>
    <w:rsid w:val="00807EFB"/>
    <w:rsid w:val="00813D64"/>
    <w:rsid w:val="008255B9"/>
    <w:rsid w:val="008307E9"/>
    <w:rsid w:val="0083163A"/>
    <w:rsid w:val="008341DF"/>
    <w:rsid w:val="00841C4A"/>
    <w:rsid w:val="008457B1"/>
    <w:rsid w:val="00875B1F"/>
    <w:rsid w:val="0087799D"/>
    <w:rsid w:val="00883604"/>
    <w:rsid w:val="00895264"/>
    <w:rsid w:val="008A46D5"/>
    <w:rsid w:val="008A7F89"/>
    <w:rsid w:val="008B6F14"/>
    <w:rsid w:val="008D1C5A"/>
    <w:rsid w:val="008D7EEF"/>
    <w:rsid w:val="008E406F"/>
    <w:rsid w:val="008E6D77"/>
    <w:rsid w:val="00911D6F"/>
    <w:rsid w:val="0094570D"/>
    <w:rsid w:val="00945FB3"/>
    <w:rsid w:val="00946661"/>
    <w:rsid w:val="00947397"/>
    <w:rsid w:val="00951C4A"/>
    <w:rsid w:val="009524ED"/>
    <w:rsid w:val="00954233"/>
    <w:rsid w:val="00965CBF"/>
    <w:rsid w:val="009744FA"/>
    <w:rsid w:val="00981357"/>
    <w:rsid w:val="009825C8"/>
    <w:rsid w:val="009B0D68"/>
    <w:rsid w:val="009D2FA3"/>
    <w:rsid w:val="009D7329"/>
    <w:rsid w:val="009E536C"/>
    <w:rsid w:val="009E6080"/>
    <w:rsid w:val="00A0502C"/>
    <w:rsid w:val="00A20911"/>
    <w:rsid w:val="00A31436"/>
    <w:rsid w:val="00A33C63"/>
    <w:rsid w:val="00A3415A"/>
    <w:rsid w:val="00A347C9"/>
    <w:rsid w:val="00A41813"/>
    <w:rsid w:val="00A502C8"/>
    <w:rsid w:val="00A57764"/>
    <w:rsid w:val="00A6515F"/>
    <w:rsid w:val="00A8434A"/>
    <w:rsid w:val="00A84C4F"/>
    <w:rsid w:val="00A91226"/>
    <w:rsid w:val="00A94040"/>
    <w:rsid w:val="00AA44E2"/>
    <w:rsid w:val="00AB7EA6"/>
    <w:rsid w:val="00AC59F9"/>
    <w:rsid w:val="00AD6E69"/>
    <w:rsid w:val="00AE7155"/>
    <w:rsid w:val="00AF5D2C"/>
    <w:rsid w:val="00AF66BD"/>
    <w:rsid w:val="00B14A86"/>
    <w:rsid w:val="00B165E4"/>
    <w:rsid w:val="00B25FAA"/>
    <w:rsid w:val="00B26033"/>
    <w:rsid w:val="00B64010"/>
    <w:rsid w:val="00B6418F"/>
    <w:rsid w:val="00B9608C"/>
    <w:rsid w:val="00BA2216"/>
    <w:rsid w:val="00BB6AD6"/>
    <w:rsid w:val="00BC5B26"/>
    <w:rsid w:val="00BD3897"/>
    <w:rsid w:val="00BD60C4"/>
    <w:rsid w:val="00BE0262"/>
    <w:rsid w:val="00BE567F"/>
    <w:rsid w:val="00BF1C1E"/>
    <w:rsid w:val="00BF5F00"/>
    <w:rsid w:val="00C26146"/>
    <w:rsid w:val="00C324F4"/>
    <w:rsid w:val="00C47C9F"/>
    <w:rsid w:val="00C52E42"/>
    <w:rsid w:val="00C73CCB"/>
    <w:rsid w:val="00CA0353"/>
    <w:rsid w:val="00CA6E91"/>
    <w:rsid w:val="00CD0BEB"/>
    <w:rsid w:val="00CE2726"/>
    <w:rsid w:val="00CE6574"/>
    <w:rsid w:val="00CF4741"/>
    <w:rsid w:val="00CF5AA3"/>
    <w:rsid w:val="00CF5D0E"/>
    <w:rsid w:val="00D012C9"/>
    <w:rsid w:val="00D01712"/>
    <w:rsid w:val="00D04B3E"/>
    <w:rsid w:val="00D14F88"/>
    <w:rsid w:val="00D15CC3"/>
    <w:rsid w:val="00D3035E"/>
    <w:rsid w:val="00D30F55"/>
    <w:rsid w:val="00D329FB"/>
    <w:rsid w:val="00D40D00"/>
    <w:rsid w:val="00D441FB"/>
    <w:rsid w:val="00D86E8F"/>
    <w:rsid w:val="00D95648"/>
    <w:rsid w:val="00DA4B09"/>
    <w:rsid w:val="00DA5601"/>
    <w:rsid w:val="00DC1923"/>
    <w:rsid w:val="00DC4BE2"/>
    <w:rsid w:val="00DD6FC4"/>
    <w:rsid w:val="00DE05CA"/>
    <w:rsid w:val="00E004BA"/>
    <w:rsid w:val="00E01F76"/>
    <w:rsid w:val="00E2357B"/>
    <w:rsid w:val="00E27FB3"/>
    <w:rsid w:val="00E3304F"/>
    <w:rsid w:val="00E373B4"/>
    <w:rsid w:val="00E41D31"/>
    <w:rsid w:val="00E4514A"/>
    <w:rsid w:val="00E5157E"/>
    <w:rsid w:val="00E61B3B"/>
    <w:rsid w:val="00E759E8"/>
    <w:rsid w:val="00E80FE0"/>
    <w:rsid w:val="00EC46C9"/>
    <w:rsid w:val="00EE1117"/>
    <w:rsid w:val="00EE1B51"/>
    <w:rsid w:val="00EE2D8E"/>
    <w:rsid w:val="00EE6E0C"/>
    <w:rsid w:val="00EF7090"/>
    <w:rsid w:val="00F00596"/>
    <w:rsid w:val="00F266F7"/>
    <w:rsid w:val="00F45FBD"/>
    <w:rsid w:val="00F46ED9"/>
    <w:rsid w:val="00F47C99"/>
    <w:rsid w:val="00F6532E"/>
    <w:rsid w:val="00F72159"/>
    <w:rsid w:val="00F7409E"/>
    <w:rsid w:val="00F770CD"/>
    <w:rsid w:val="00F83BAD"/>
    <w:rsid w:val="00F8634C"/>
    <w:rsid w:val="00F87F17"/>
    <w:rsid w:val="00FA7894"/>
    <w:rsid w:val="00FB2B5B"/>
    <w:rsid w:val="00FD1081"/>
    <w:rsid w:val="00FD38ED"/>
    <w:rsid w:val="00FD632E"/>
    <w:rsid w:val="00FD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ABDFFE"/>
  <w15:docId w15:val="{F2106470-129C-4CA1-AAAC-F7D5E9176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297"/>
    <w:pPr>
      <w:jc w:val="both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A3B"/>
    <w:pPr>
      <w:keepNext/>
      <w:spacing w:before="240"/>
      <w:outlineLvl w:val="0"/>
    </w:pPr>
    <w:rPr>
      <w:rFonts w:eastAsia="Times New Roman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A3B"/>
    <w:pPr>
      <w:keepNext/>
      <w:outlineLvl w:val="1"/>
    </w:pPr>
    <w:rPr>
      <w:rFonts w:eastAsia="Times New Roman"/>
      <w:b/>
      <w:bCs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A3B"/>
    <w:rPr>
      <w:rFonts w:eastAsia="Times New Roman"/>
      <w:b/>
      <w:bCs/>
      <w:kern w:val="32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A3B"/>
    <w:rPr>
      <w:rFonts w:eastAsia="Times New Roman"/>
      <w:b/>
      <w:bCs/>
      <w:iCs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5C54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542B"/>
  </w:style>
  <w:style w:type="paragraph" w:styleId="Footer">
    <w:name w:val="footer"/>
    <w:basedOn w:val="Normal"/>
    <w:link w:val="FooterChar"/>
    <w:unhideWhenUsed/>
    <w:rsid w:val="005C54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542B"/>
  </w:style>
  <w:style w:type="table" w:styleId="TableGrid">
    <w:name w:val="Table Grid"/>
    <w:basedOn w:val="TableNormal"/>
    <w:uiPriority w:val="59"/>
    <w:rsid w:val="007C714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KBOTitle">
    <w:name w:val="KBO Title"/>
    <w:basedOn w:val="Normal"/>
    <w:next w:val="KBOAuthors"/>
    <w:qFormat/>
    <w:rsid w:val="00DE05CA"/>
    <w:pPr>
      <w:spacing w:before="360"/>
      <w:jc w:val="center"/>
    </w:pPr>
    <w:rPr>
      <w:b/>
      <w:caps/>
    </w:rPr>
  </w:style>
  <w:style w:type="paragraph" w:customStyle="1" w:styleId="KBOAuthors">
    <w:name w:val="KBO Authors"/>
    <w:basedOn w:val="KBOTextBody"/>
    <w:next w:val="KBOAffiliation"/>
    <w:qFormat/>
    <w:rsid w:val="0087799D"/>
    <w:pPr>
      <w:spacing w:before="360" w:after="240"/>
      <w:jc w:val="center"/>
    </w:pPr>
    <w:rPr>
      <w:b/>
    </w:rPr>
  </w:style>
  <w:style w:type="paragraph" w:customStyle="1" w:styleId="KBOAffiliation">
    <w:name w:val="KBO Affiliation"/>
    <w:basedOn w:val="KBOTextBody"/>
    <w:next w:val="KBOAbstract"/>
    <w:qFormat/>
    <w:rsid w:val="0087799D"/>
    <w:pPr>
      <w:jc w:val="center"/>
    </w:pPr>
    <w:rPr>
      <w:b/>
    </w:rPr>
  </w:style>
  <w:style w:type="paragraph" w:customStyle="1" w:styleId="KBOAbstract">
    <w:name w:val="KBO Abstract"/>
    <w:basedOn w:val="KBOTextBody"/>
    <w:link w:val="KBOAbstractChar"/>
    <w:qFormat/>
    <w:rsid w:val="0048340C"/>
    <w:pPr>
      <w:spacing w:before="480"/>
    </w:pPr>
    <w:rPr>
      <w:i/>
      <w:sz w:val="22"/>
    </w:rPr>
  </w:style>
  <w:style w:type="character" w:customStyle="1" w:styleId="KBOAbstractChar">
    <w:name w:val="KBO Abstract Char"/>
    <w:basedOn w:val="DefaultParagraphFont"/>
    <w:link w:val="KBOAbstract"/>
    <w:rsid w:val="002108F3"/>
    <w:rPr>
      <w:rFonts w:eastAsia="Times New Roman"/>
      <w:i/>
      <w:sz w:val="22"/>
      <w:szCs w:val="24"/>
      <w:lang w:val="en-GB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71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14D"/>
    <w:rPr>
      <w:rFonts w:ascii="Tahoma" w:hAnsi="Tahoma" w:cs="Tahoma"/>
      <w:sz w:val="16"/>
      <w:szCs w:val="16"/>
    </w:rPr>
  </w:style>
  <w:style w:type="character" w:customStyle="1" w:styleId="KBOAbstractHeading">
    <w:name w:val="KBO Abstract Heading"/>
    <w:basedOn w:val="DefaultParagraphFont"/>
    <w:uiPriority w:val="1"/>
    <w:qFormat/>
    <w:rsid w:val="00FB2B5B"/>
    <w:rPr>
      <w:rFonts w:ascii="Times New Roman" w:hAnsi="Times New Roman"/>
      <w:b/>
      <w:dstrike w:val="0"/>
      <w:sz w:val="24"/>
      <w:vertAlign w:val="baseline"/>
    </w:rPr>
  </w:style>
  <w:style w:type="paragraph" w:customStyle="1" w:styleId="KBOHeading1">
    <w:name w:val="KBO Heading 1"/>
    <w:basedOn w:val="KBOTextBody"/>
    <w:next w:val="KBOTextBody"/>
    <w:qFormat/>
    <w:rsid w:val="00E759E8"/>
    <w:pPr>
      <w:spacing w:before="240"/>
    </w:pPr>
    <w:rPr>
      <w:b/>
    </w:rPr>
  </w:style>
  <w:style w:type="paragraph" w:customStyle="1" w:styleId="KBOKeywords">
    <w:name w:val="KBO Keywords"/>
    <w:basedOn w:val="KBOTextBody"/>
    <w:qFormat/>
    <w:rsid w:val="00FB2B5B"/>
    <w:pPr>
      <w:spacing w:before="240" w:after="240"/>
    </w:pPr>
    <w:rPr>
      <w:b/>
    </w:rPr>
  </w:style>
  <w:style w:type="paragraph" w:customStyle="1" w:styleId="KBOBulletlist">
    <w:name w:val="KBO Bulletlist"/>
    <w:basedOn w:val="ListBullet"/>
    <w:qFormat/>
    <w:rsid w:val="007B64E6"/>
    <w:pPr>
      <w:ind w:left="284" w:hanging="284"/>
    </w:pPr>
    <w:rPr>
      <w:rFonts w:eastAsia="Times New Roman"/>
      <w:szCs w:val="24"/>
    </w:rPr>
  </w:style>
  <w:style w:type="paragraph" w:customStyle="1" w:styleId="KBOTextBody">
    <w:name w:val="KBO Text Body"/>
    <w:basedOn w:val="Normal"/>
    <w:qFormat/>
    <w:rsid w:val="002F36F9"/>
    <w:pPr>
      <w:widowControl w:val="0"/>
      <w:autoSpaceDE w:val="0"/>
      <w:autoSpaceDN w:val="0"/>
    </w:pPr>
    <w:rPr>
      <w:rFonts w:eastAsia="Times New Roman"/>
      <w:szCs w:val="24"/>
      <w:lang w:val="en-GB" w:eastAsia="de-DE"/>
    </w:rPr>
  </w:style>
  <w:style w:type="paragraph" w:customStyle="1" w:styleId="KBOCaptionFigure">
    <w:name w:val="KBO Caption Figure"/>
    <w:basedOn w:val="KBOTextBody"/>
    <w:qFormat/>
    <w:rsid w:val="004A6D8C"/>
    <w:pPr>
      <w:spacing w:after="240"/>
      <w:jc w:val="center"/>
    </w:pPr>
    <w:rPr>
      <w:i/>
      <w:sz w:val="22"/>
    </w:rPr>
  </w:style>
  <w:style w:type="paragraph" w:customStyle="1" w:styleId="KBOCaptionTable">
    <w:name w:val="KBO Caption Table"/>
    <w:basedOn w:val="KBOTextBody"/>
    <w:qFormat/>
    <w:rsid w:val="00841C4A"/>
    <w:pPr>
      <w:spacing w:before="240"/>
      <w:jc w:val="right"/>
    </w:pPr>
    <w:rPr>
      <w:i/>
      <w:sz w:val="22"/>
    </w:rPr>
  </w:style>
  <w:style w:type="paragraph" w:customStyle="1" w:styleId="KBOEquation">
    <w:name w:val="KBO Equation"/>
    <w:basedOn w:val="KBOTextBody"/>
    <w:qFormat/>
    <w:rsid w:val="00665F65"/>
    <w:pPr>
      <w:tabs>
        <w:tab w:val="right" w:pos="4253"/>
      </w:tabs>
      <w:spacing w:before="120" w:after="120"/>
    </w:pPr>
  </w:style>
  <w:style w:type="paragraph" w:customStyle="1" w:styleId="KBOHeading2">
    <w:name w:val="KBO Heading 2"/>
    <w:basedOn w:val="KBOHeading1"/>
    <w:next w:val="KBOTextBody"/>
    <w:qFormat/>
    <w:rsid w:val="00C324F4"/>
    <w:pPr>
      <w:spacing w:before="0"/>
    </w:pPr>
  </w:style>
  <w:style w:type="paragraph" w:customStyle="1" w:styleId="KBOFigure">
    <w:name w:val="KBO Figure"/>
    <w:next w:val="Normal"/>
    <w:qFormat/>
    <w:rsid w:val="000E5977"/>
    <w:pPr>
      <w:jc w:val="center"/>
    </w:pPr>
    <w:rPr>
      <w:rFonts w:eastAsia="Times New Roman"/>
      <w:noProof/>
      <w:sz w:val="24"/>
      <w:szCs w:val="24"/>
    </w:rPr>
  </w:style>
  <w:style w:type="paragraph" w:customStyle="1" w:styleId="KBOReferencesCaption">
    <w:name w:val="KBO References Caption"/>
    <w:basedOn w:val="Normal"/>
    <w:qFormat/>
    <w:rsid w:val="00451C11"/>
    <w:pPr>
      <w:widowControl w:val="0"/>
      <w:autoSpaceDE w:val="0"/>
      <w:autoSpaceDN w:val="0"/>
      <w:spacing w:before="240"/>
      <w:jc w:val="center"/>
    </w:pPr>
    <w:rPr>
      <w:rFonts w:eastAsia="Times New Roman"/>
      <w:b/>
      <w:szCs w:val="24"/>
      <w:lang w:val="en-GB" w:eastAsia="de-DE"/>
    </w:rPr>
  </w:style>
  <w:style w:type="paragraph" w:customStyle="1" w:styleId="KBOReferences">
    <w:name w:val="KBO References"/>
    <w:basedOn w:val="Normal"/>
    <w:next w:val="KBOReferencesCaption"/>
    <w:qFormat/>
    <w:rsid w:val="003F1C8E"/>
    <w:pPr>
      <w:ind w:left="567" w:hanging="567"/>
    </w:pPr>
    <w:rPr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165E4"/>
    <w:pPr>
      <w:spacing w:before="360"/>
      <w:jc w:val="center"/>
      <w:outlineLvl w:val="0"/>
    </w:pPr>
    <w:rPr>
      <w:rFonts w:eastAsia="Times New Roman"/>
      <w:b/>
      <w:bCs/>
      <w:caps/>
      <w:kern w:val="28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165E4"/>
    <w:rPr>
      <w:rFonts w:eastAsia="Times New Roman"/>
      <w:b/>
      <w:bCs/>
      <w:caps/>
      <w:kern w:val="28"/>
      <w:sz w:val="24"/>
      <w:szCs w:val="32"/>
    </w:rPr>
  </w:style>
  <w:style w:type="paragraph" w:customStyle="1" w:styleId="Firstparagraph">
    <w:name w:val="First paragraph"/>
    <w:basedOn w:val="Normal"/>
    <w:next w:val="Normal"/>
    <w:rsid w:val="0083163A"/>
    <w:rPr>
      <w:rFonts w:eastAsia="Times New Roman"/>
      <w:sz w:val="22"/>
      <w:szCs w:val="24"/>
      <w:lang w:val="en-GB"/>
    </w:rPr>
  </w:style>
  <w:style w:type="paragraph" w:styleId="ListBullet">
    <w:name w:val="List Bullet"/>
    <w:basedOn w:val="Normal"/>
    <w:uiPriority w:val="99"/>
    <w:semiHidden/>
    <w:unhideWhenUsed/>
    <w:rsid w:val="007B64E6"/>
    <w:pPr>
      <w:numPr>
        <w:numId w:val="7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CD0BEB"/>
    <w:rPr>
      <w:color w:val="0000FF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1D71D0"/>
    <w:pPr>
      <w:spacing w:line="360" w:lineRule="auto"/>
      <w:ind w:firstLine="720"/>
    </w:pPr>
    <w:rPr>
      <w:rFonts w:ascii="Calibri" w:eastAsia="Times New Roman" w:hAnsi="Calibri"/>
      <w:i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71D0"/>
    <w:rPr>
      <w:rFonts w:ascii="Calibri" w:eastAsia="Times New Roman" w:hAnsi="Calibri"/>
      <w:i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129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12972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iele.cosmin@armyacademy.ro" TargetMode="Externa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822B594-232F-4BC0-AF1B-DE403997D476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e849a799-a83d-4878-961c-59ef6439117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75D06C-879A-47AA-9BFD-4F46BAE70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8</Pages>
  <Words>2633</Words>
  <Characters>17041</Characters>
  <Application>Microsoft Office Word</Application>
  <DocSecurity>0</DocSecurity>
  <Lines>387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KBO Template</vt:lpstr>
    </vt:vector>
  </TitlesOfParts>
  <Company/>
  <LinksUpToDate>false</LinksUpToDate>
  <CharactersWithSpaces>19594</CharactersWithSpaces>
  <SharedDoc>false</SharedDoc>
  <HLinks>
    <vt:vector size="6" baseType="variant">
      <vt:variant>
        <vt:i4>4194317</vt:i4>
      </vt:variant>
      <vt:variant>
        <vt:i4>0</vt:i4>
      </vt:variant>
      <vt:variant>
        <vt:i4>0</vt:i4>
      </vt:variant>
      <vt:variant>
        <vt:i4>5</vt:i4>
      </vt:variant>
      <vt:variant>
        <vt:lpwstr>https://www.armyacademy.ro/conference.php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KBO Template</dc:title>
  <dc:subject>KBO Conference</dc:subject>
  <dc:creator>AFT</dc:creator>
  <cp:keywords>template</cp:keywords>
  <cp:lastModifiedBy>Bogdan</cp:lastModifiedBy>
  <cp:revision>14</cp:revision>
  <cp:lastPrinted>2026-05-22T05:39:00Z</cp:lastPrinted>
  <dcterms:created xsi:type="dcterms:W3CDTF">2026-04-30T08:38:00Z</dcterms:created>
  <dcterms:modified xsi:type="dcterms:W3CDTF">2026-05-22T10:26:00Z</dcterms:modified>
</cp:coreProperties>
</file>