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9E24C" w14:textId="3E4D03DE" w:rsidR="007B4AAD" w:rsidRPr="007B4AAD" w:rsidRDefault="007B4AAD" w:rsidP="007B4AA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4 </w:t>
      </w:r>
      <w:r w:rsidRPr="007B4AAD">
        <w:rPr>
          <w:rFonts w:ascii="Times New Roman" w:eastAsia="Times New Roman" w:hAnsi="Times New Roman" w:cs="Times New Roman"/>
          <w:b/>
          <w:bCs/>
          <w:kern w:val="0"/>
          <w14:ligatures w14:val="none"/>
        </w:rPr>
        <w:t>Success Metrics and Business Value</w:t>
      </w:r>
    </w:p>
    <w:p w14:paraId="0B9B513C" w14:textId="77777777" w:rsidR="007B4AAD" w:rsidRPr="007B4AAD" w:rsidRDefault="007B4AAD" w:rsidP="007B4AAD">
      <w:pPr>
        <w:spacing w:before="100" w:beforeAutospacing="1" w:after="100" w:afterAutospacing="1" w:line="240" w:lineRule="auto"/>
        <w:rPr>
          <w:rFonts w:ascii="Times New Roman" w:eastAsia="Times New Roman" w:hAnsi="Times New Roman" w:cs="Times New Roman"/>
          <w:kern w:val="0"/>
          <w14:ligatures w14:val="none"/>
        </w:rPr>
      </w:pPr>
      <w:r w:rsidRPr="007B4AAD">
        <w:rPr>
          <w:rFonts w:ascii="Times New Roman" w:eastAsia="Times New Roman" w:hAnsi="Times New Roman" w:cs="Times New Roman"/>
          <w:b/>
          <w:bCs/>
          <w:kern w:val="0"/>
          <w14:ligatures w14:val="none"/>
        </w:rPr>
        <w:t>4.1 Business Value and Benefits to the Client</w:t>
      </w:r>
      <w:r w:rsidRPr="007B4AAD">
        <w:rPr>
          <w:rFonts w:ascii="Times New Roman" w:eastAsia="Times New Roman" w:hAnsi="Times New Roman" w:cs="Times New Roman"/>
          <w:kern w:val="0"/>
          <w14:ligatures w14:val="none"/>
        </w:rPr>
        <w:t xml:space="preserve"> The implementation of the Data Governance Framework (DGF) transforms Elect-FMCG’s data from an unmanaged operational byproduct into a strategic, secure, and compliant business asset. The primary business benefits are categorized into operational efficiency, risk mitigation, and commercial growth:</w:t>
      </w:r>
    </w:p>
    <w:p w14:paraId="60881EAF" w14:textId="77777777" w:rsidR="007B4AAD" w:rsidRPr="007B4AAD" w:rsidRDefault="007B4AAD" w:rsidP="007B4AA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B4AAD">
        <w:rPr>
          <w:rFonts w:ascii="Times New Roman" w:eastAsia="Times New Roman" w:hAnsi="Times New Roman" w:cs="Times New Roman"/>
          <w:b/>
          <w:bCs/>
          <w:kern w:val="0"/>
          <w14:ligatures w14:val="none"/>
        </w:rPr>
        <w:t>Operational Efficiency and Revenue Protection:</w:t>
      </w:r>
      <w:r w:rsidRPr="007B4AAD">
        <w:rPr>
          <w:rFonts w:ascii="Times New Roman" w:eastAsia="Times New Roman" w:hAnsi="Times New Roman" w:cs="Times New Roman"/>
          <w:kern w:val="0"/>
          <w14:ligatures w14:val="none"/>
        </w:rPr>
        <w:t xml:space="preserve"> Poor data quality costs organizations an average of USD 12.9 million annually due to manual reconciliation, flawed analytics, and downstream operational errors. By enforcing unified Critical Data Elements (CDEs) across the SAP ERP, e-commerce platform, and B2B portals, Elect-FMCG will eliminate pricing inconsistencies, prevent margin erosion on discounted lines, and improve demand forecasting for major brand partners like Samsung, Hitachi, and TCL.</w:t>
      </w:r>
    </w:p>
    <w:p w14:paraId="610E0463" w14:textId="77777777" w:rsidR="007B4AAD" w:rsidRPr="007B4AAD" w:rsidRDefault="007B4AAD" w:rsidP="007B4AA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B4AAD">
        <w:rPr>
          <w:rFonts w:ascii="Times New Roman" w:eastAsia="Times New Roman" w:hAnsi="Times New Roman" w:cs="Times New Roman"/>
          <w:b/>
          <w:bCs/>
          <w:kern w:val="0"/>
          <w14:ligatures w14:val="none"/>
        </w:rPr>
        <w:t>Regulatory Compliance and Trust:</w:t>
      </w:r>
      <w:r w:rsidRPr="007B4AAD">
        <w:rPr>
          <w:rFonts w:ascii="Times New Roman" w:eastAsia="Times New Roman" w:hAnsi="Times New Roman" w:cs="Times New Roman"/>
          <w:kern w:val="0"/>
          <w14:ligatures w14:val="none"/>
        </w:rPr>
        <w:t xml:space="preserve"> The framework establishes a robust structure for UAE Personal Data Protection Law (PDPL) and PCI DSS v4.0 compliance. By formalizing consent frameworks, Data Subject Rights (DSR) procedures, and appointing a Data Protection Officer (DPO), Elect-FMCG mitigates the risk of severe regulatory penalties and builds essential digital trust with consumers and brand partners.</w:t>
      </w:r>
    </w:p>
    <w:p w14:paraId="71CB4645" w14:textId="77777777" w:rsidR="007B4AAD" w:rsidRPr="007B4AAD" w:rsidRDefault="007B4AAD" w:rsidP="007B4AA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B4AAD">
        <w:rPr>
          <w:rFonts w:ascii="Times New Roman" w:eastAsia="Times New Roman" w:hAnsi="Times New Roman" w:cs="Times New Roman"/>
          <w:b/>
          <w:bCs/>
          <w:kern w:val="0"/>
          <w14:ligatures w14:val="none"/>
        </w:rPr>
        <w:t>Security Posture and Cost Reduction:</w:t>
      </w:r>
      <w:r w:rsidRPr="007B4AAD">
        <w:rPr>
          <w:rFonts w:ascii="Times New Roman" w:eastAsia="Times New Roman" w:hAnsi="Times New Roman" w:cs="Times New Roman"/>
          <w:kern w:val="0"/>
          <w14:ligatures w14:val="none"/>
        </w:rPr>
        <w:t xml:space="preserve"> Transitioning to a Zero Trust architecture through formal access controls eliminates over-privileged "ghost" accounts, drastically reducing the organization's attack surface against ransomware and insider threats. Additionally, the enforcement of domain-level data retention schedules purges outdated information, which lowers cloud and on-premise storage costs and minimizes the impact scope of any potential data breach.</w:t>
      </w:r>
    </w:p>
    <w:p w14:paraId="1E53AC05" w14:textId="77777777" w:rsidR="007B4AAD" w:rsidRPr="007B4AAD" w:rsidRDefault="007B4AAD" w:rsidP="007B4AAD">
      <w:pPr>
        <w:spacing w:before="100" w:beforeAutospacing="1" w:after="100" w:afterAutospacing="1" w:line="240" w:lineRule="auto"/>
        <w:rPr>
          <w:rFonts w:ascii="Times New Roman" w:eastAsia="Times New Roman" w:hAnsi="Times New Roman" w:cs="Times New Roman"/>
          <w:kern w:val="0"/>
          <w14:ligatures w14:val="none"/>
        </w:rPr>
      </w:pPr>
      <w:r w:rsidRPr="007B4AAD">
        <w:rPr>
          <w:rFonts w:ascii="Times New Roman" w:eastAsia="Times New Roman" w:hAnsi="Times New Roman" w:cs="Times New Roman"/>
          <w:b/>
          <w:bCs/>
          <w:kern w:val="0"/>
          <w14:ligatures w14:val="none"/>
        </w:rPr>
        <w:t>4.2 Key Performance Indicators (KPIs) and Success Measurement</w:t>
      </w:r>
      <w:r w:rsidRPr="007B4AAD">
        <w:rPr>
          <w:rFonts w:ascii="Times New Roman" w:eastAsia="Times New Roman" w:hAnsi="Times New Roman" w:cs="Times New Roman"/>
          <w:kern w:val="0"/>
          <w14:ligatures w14:val="none"/>
        </w:rPr>
        <w:t xml:space="preserve"> Success is not assumed; it is systematically measured through evidence-based compliance and tracked by the Data Governance Office (DGO). The DGO reports these KPIs to the Data Governance Council (DGC) on a quarterly basis.</w:t>
      </w:r>
    </w:p>
    <w:p w14:paraId="0AFB0553" w14:textId="77777777" w:rsidR="007B4AAD" w:rsidRPr="007B4AAD" w:rsidRDefault="007B4AAD" w:rsidP="007B4AAD">
      <w:pPr>
        <w:spacing w:before="100" w:beforeAutospacing="1" w:after="100" w:afterAutospacing="1" w:line="240" w:lineRule="auto"/>
        <w:rPr>
          <w:rFonts w:ascii="Times New Roman" w:eastAsia="Times New Roman" w:hAnsi="Times New Roman" w:cs="Times New Roman"/>
          <w:kern w:val="0"/>
          <w14:ligatures w14:val="none"/>
        </w:rPr>
      </w:pPr>
      <w:r w:rsidRPr="007B4AAD">
        <w:rPr>
          <w:rFonts w:ascii="Times New Roman" w:eastAsia="Times New Roman" w:hAnsi="Times New Roman" w:cs="Times New Roman"/>
          <w:kern w:val="0"/>
          <w14:ligatures w14:val="none"/>
        </w:rPr>
        <w:t>The defining metrics for success include:</w:t>
      </w:r>
    </w:p>
    <w:p w14:paraId="5B07FBE5" w14:textId="77777777" w:rsidR="007B4AAD" w:rsidRPr="007B4AAD" w:rsidRDefault="007B4AAD" w:rsidP="007B4AA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B4AAD">
        <w:rPr>
          <w:rFonts w:ascii="Times New Roman" w:eastAsia="Times New Roman" w:hAnsi="Times New Roman" w:cs="Times New Roman"/>
          <w:b/>
          <w:bCs/>
          <w:kern w:val="0"/>
          <w14:ligatures w14:val="none"/>
        </w:rPr>
        <w:t>Accountability &amp; Ownership:</w:t>
      </w:r>
      <w:r w:rsidRPr="007B4AAD">
        <w:rPr>
          <w:rFonts w:ascii="Times New Roman" w:eastAsia="Times New Roman" w:hAnsi="Times New Roman" w:cs="Times New Roman"/>
          <w:kern w:val="0"/>
          <w14:ligatures w14:val="none"/>
        </w:rPr>
        <w:t xml:space="preserve"> 100% of essential data domains must have a named and verified Data Owner by Year-1 Q1.</w:t>
      </w:r>
    </w:p>
    <w:p w14:paraId="5C57699D" w14:textId="77777777" w:rsidR="007B4AAD" w:rsidRPr="007B4AAD" w:rsidRDefault="007B4AAD" w:rsidP="007B4AA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B4AAD">
        <w:rPr>
          <w:rFonts w:ascii="Times New Roman" w:eastAsia="Times New Roman" w:hAnsi="Times New Roman" w:cs="Times New Roman"/>
          <w:b/>
          <w:bCs/>
          <w:kern w:val="0"/>
          <w14:ligatures w14:val="none"/>
        </w:rPr>
        <w:t>Policy Adoption:</w:t>
      </w:r>
      <w:r w:rsidRPr="007B4AAD">
        <w:rPr>
          <w:rFonts w:ascii="Times New Roman" w:eastAsia="Times New Roman" w:hAnsi="Times New Roman" w:cs="Times New Roman"/>
          <w:kern w:val="0"/>
          <w14:ligatures w14:val="none"/>
        </w:rPr>
        <w:t xml:space="preserve"> 100% of Tier-1 policies (Data Classification, Access Control, Data Privacy/PDPL, and Data Retention) must be approved and active by Year-1 Q1.</w:t>
      </w:r>
    </w:p>
    <w:p w14:paraId="207B9BAE" w14:textId="77777777" w:rsidR="007B4AAD" w:rsidRPr="007B4AAD" w:rsidRDefault="007B4AAD" w:rsidP="007B4AA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B4AAD">
        <w:rPr>
          <w:rFonts w:ascii="Times New Roman" w:eastAsia="Times New Roman" w:hAnsi="Times New Roman" w:cs="Times New Roman"/>
          <w:b/>
          <w:bCs/>
          <w:kern w:val="0"/>
          <w14:ligatures w14:val="none"/>
        </w:rPr>
        <w:t>Data Quality SLAs:</w:t>
      </w:r>
      <w:r w:rsidRPr="007B4AAD">
        <w:rPr>
          <w:rFonts w:ascii="Times New Roman" w:eastAsia="Times New Roman" w:hAnsi="Times New Roman" w:cs="Times New Roman"/>
          <w:kern w:val="0"/>
          <w14:ligatures w14:val="none"/>
        </w:rPr>
        <w:t xml:space="preserve"> Greater than 90% of Critical-severity and 80% of High-severity data quality issues must be resolved within their defined Service Level Agreements (SLAs). Furthermore, the number of open governance issues older than 30 days must consistently trend toward zero by Year-1 Q4.</w:t>
      </w:r>
    </w:p>
    <w:p w14:paraId="41102E6A" w14:textId="77777777" w:rsidR="007B4AAD" w:rsidRPr="007B4AAD" w:rsidRDefault="007B4AAD" w:rsidP="007B4AA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B4AAD">
        <w:rPr>
          <w:rFonts w:ascii="Times New Roman" w:eastAsia="Times New Roman" w:hAnsi="Times New Roman" w:cs="Times New Roman"/>
          <w:b/>
          <w:bCs/>
          <w:kern w:val="0"/>
          <w14:ligatures w14:val="none"/>
        </w:rPr>
        <w:t>Access &amp; Security Governance:</w:t>
      </w:r>
      <w:r w:rsidRPr="007B4AAD">
        <w:rPr>
          <w:rFonts w:ascii="Times New Roman" w:eastAsia="Times New Roman" w:hAnsi="Times New Roman" w:cs="Times New Roman"/>
          <w:kern w:val="0"/>
          <w14:ligatures w14:val="none"/>
        </w:rPr>
        <w:t xml:space="preserve"> 100% of privileged access accounts across systems like SAP and the B2B portals must be reviewed during each quarterly review cycle.</w:t>
      </w:r>
    </w:p>
    <w:p w14:paraId="24D167EF" w14:textId="77777777" w:rsidR="007B4AAD" w:rsidRPr="007B4AAD" w:rsidRDefault="007B4AAD" w:rsidP="007B4AA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B4AAD">
        <w:rPr>
          <w:rFonts w:ascii="Times New Roman" w:eastAsia="Times New Roman" w:hAnsi="Times New Roman" w:cs="Times New Roman"/>
          <w:b/>
          <w:bCs/>
          <w:kern w:val="0"/>
          <w14:ligatures w14:val="none"/>
        </w:rPr>
        <w:t>Vendor Risk Management:</w:t>
      </w:r>
      <w:r w:rsidRPr="007B4AAD">
        <w:rPr>
          <w:rFonts w:ascii="Times New Roman" w:eastAsia="Times New Roman" w:hAnsi="Times New Roman" w:cs="Times New Roman"/>
          <w:kern w:val="0"/>
          <w14:ligatures w14:val="none"/>
        </w:rPr>
        <w:t xml:space="preserve"> 100% of Tier-1 partners (including international brands, logistics providers, and payment gateways) must be covered by legally binding Data Processing Agreements (DPAs) by Year-1 Q3.</w:t>
      </w:r>
    </w:p>
    <w:p w14:paraId="108D03FC" w14:textId="77777777" w:rsidR="007B4AAD" w:rsidRPr="007B4AAD" w:rsidRDefault="007B4AAD" w:rsidP="007B4AA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B4AAD">
        <w:rPr>
          <w:rFonts w:ascii="Times New Roman" w:eastAsia="Times New Roman" w:hAnsi="Times New Roman" w:cs="Times New Roman"/>
          <w:b/>
          <w:bCs/>
          <w:kern w:val="0"/>
          <w14:ligatures w14:val="none"/>
        </w:rPr>
        <w:lastRenderedPageBreak/>
        <w:t>Governance Maturity Score:</w:t>
      </w:r>
      <w:r w:rsidRPr="007B4AAD">
        <w:rPr>
          <w:rFonts w:ascii="Times New Roman" w:eastAsia="Times New Roman" w:hAnsi="Times New Roman" w:cs="Times New Roman"/>
          <w:kern w:val="0"/>
          <w14:ligatures w14:val="none"/>
        </w:rPr>
        <w:t xml:space="preserve"> Assessed annually using the DAMA Data Management Maturity (DMM) scale, Elect-FMCG will measure success by advancing from Level 1 (Initial/Ad Hoc) to Level 2 (Managed) by the end of Year 1, with a strategic target of Level 3 (Defined) by Year 2.</w:t>
      </w:r>
    </w:p>
    <w:p w14:paraId="0CDE8AF4" w14:textId="77777777" w:rsidR="007B4AAD" w:rsidRPr="007B4AAD" w:rsidRDefault="007B4AAD" w:rsidP="007B4AAD">
      <w:pPr>
        <w:spacing w:before="100" w:beforeAutospacing="1" w:after="100" w:afterAutospacing="1" w:line="240" w:lineRule="auto"/>
        <w:rPr>
          <w:rFonts w:ascii="Times New Roman" w:eastAsia="Times New Roman" w:hAnsi="Times New Roman" w:cs="Times New Roman"/>
          <w:kern w:val="0"/>
          <w14:ligatures w14:val="none"/>
        </w:rPr>
      </w:pPr>
      <w:r w:rsidRPr="007B4AAD">
        <w:rPr>
          <w:rFonts w:ascii="Times New Roman" w:eastAsia="Times New Roman" w:hAnsi="Times New Roman" w:cs="Times New Roman"/>
          <w:b/>
          <w:bCs/>
          <w:kern w:val="0"/>
          <w14:ligatures w14:val="none"/>
        </w:rPr>
        <w:t>4.3 Dashboard and Visual Reporting Ideas</w:t>
      </w:r>
      <w:r w:rsidRPr="007B4AAD">
        <w:rPr>
          <w:rFonts w:ascii="Times New Roman" w:eastAsia="Times New Roman" w:hAnsi="Times New Roman" w:cs="Times New Roman"/>
          <w:kern w:val="0"/>
          <w14:ligatures w14:val="none"/>
        </w:rPr>
        <w:t xml:space="preserve"> To maintain executive visibility, the DGO is mandated to maintain a KPI dashboard reviewed quarterly by the DGC and the Executive Sponsor. The following visual dashboard concepts should be integrated to show impact:</w:t>
      </w:r>
    </w:p>
    <w:p w14:paraId="50857327" w14:textId="77777777" w:rsidR="007B4AAD" w:rsidRPr="007B4AAD" w:rsidRDefault="007B4AAD" w:rsidP="007B4AA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B4AAD">
        <w:rPr>
          <w:rFonts w:ascii="Times New Roman" w:eastAsia="Times New Roman" w:hAnsi="Times New Roman" w:cs="Times New Roman"/>
          <w:b/>
          <w:bCs/>
          <w:kern w:val="0"/>
          <w14:ligatures w14:val="none"/>
        </w:rPr>
        <w:t>Governance Maturity Thermometer:</w:t>
      </w:r>
      <w:r w:rsidRPr="007B4AAD">
        <w:rPr>
          <w:rFonts w:ascii="Times New Roman" w:eastAsia="Times New Roman" w:hAnsi="Times New Roman" w:cs="Times New Roman"/>
          <w:kern w:val="0"/>
          <w14:ligatures w14:val="none"/>
        </w:rPr>
        <w:t xml:space="preserve"> A visual gauge tracking the enterprise-wide progression on the DAMA DMM scale (Levels 1 through 5). This can be segmented by the eight data domains to visually highlight which departments are lagging in policy adoption.</w:t>
      </w:r>
    </w:p>
    <w:p w14:paraId="2A9F8812" w14:textId="77777777" w:rsidR="007B4AAD" w:rsidRPr="007B4AAD" w:rsidRDefault="007B4AAD" w:rsidP="007B4AA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B4AAD">
        <w:rPr>
          <w:rFonts w:ascii="Times New Roman" w:eastAsia="Times New Roman" w:hAnsi="Times New Roman" w:cs="Times New Roman"/>
          <w:b/>
          <w:bCs/>
          <w:kern w:val="0"/>
          <w14:ligatures w14:val="none"/>
        </w:rPr>
        <w:t>Data Quality "Traffic Light" Tracker (Red/Amber/Green):</w:t>
      </w:r>
      <w:r w:rsidRPr="007B4AAD">
        <w:rPr>
          <w:rFonts w:ascii="Times New Roman" w:eastAsia="Times New Roman" w:hAnsi="Times New Roman" w:cs="Times New Roman"/>
          <w:kern w:val="0"/>
          <w14:ligatures w14:val="none"/>
        </w:rPr>
        <w:t xml:space="preserve"> A real-time SLA compliance board displaying the resolution times of data quality tickets logged by Data Stewards. Visualizing the backlog of issues older than 30 days via a burndown chart will clearly demonstrate operational improvement.</w:t>
      </w:r>
    </w:p>
    <w:p w14:paraId="4533D967" w14:textId="77777777" w:rsidR="007B4AAD" w:rsidRPr="007B4AAD" w:rsidRDefault="007B4AAD" w:rsidP="007B4AA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B4AAD">
        <w:rPr>
          <w:rFonts w:ascii="Times New Roman" w:eastAsia="Times New Roman" w:hAnsi="Times New Roman" w:cs="Times New Roman"/>
          <w:b/>
          <w:bCs/>
          <w:kern w:val="0"/>
          <w14:ligatures w14:val="none"/>
        </w:rPr>
        <w:t>Access &amp; Risk Heatmap:</w:t>
      </w:r>
      <w:r w:rsidRPr="007B4AAD">
        <w:rPr>
          <w:rFonts w:ascii="Times New Roman" w:eastAsia="Times New Roman" w:hAnsi="Times New Roman" w:cs="Times New Roman"/>
          <w:kern w:val="0"/>
          <w14:ligatures w14:val="none"/>
        </w:rPr>
        <w:t xml:space="preserve"> A visual matrix plotting the eight data domains against their risk ratings (e.g., Financial and Payment data flagged as "Critical"). This heatmap can overlay compliance statuses, showing green checkmarks for completed quarterly access reviews and executed vendor DPAs, instantly highlighting vulnerabilities in the supply chain or IT infrastructure.</w:t>
      </w:r>
    </w:p>
    <w:p w14:paraId="71282D77" w14:textId="77777777" w:rsidR="007B4AAD" w:rsidRPr="007B4AAD" w:rsidRDefault="007B4AAD" w:rsidP="007B4AA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B4AAD">
        <w:rPr>
          <w:rFonts w:ascii="Times New Roman" w:eastAsia="Times New Roman" w:hAnsi="Times New Roman" w:cs="Times New Roman"/>
          <w:b/>
          <w:bCs/>
          <w:kern w:val="0"/>
          <w14:ligatures w14:val="none"/>
        </w:rPr>
        <w:t>Retention vs. Storage Line Chart:</w:t>
      </w:r>
      <w:r w:rsidRPr="007B4AAD">
        <w:rPr>
          <w:rFonts w:ascii="Times New Roman" w:eastAsia="Times New Roman" w:hAnsi="Times New Roman" w:cs="Times New Roman"/>
          <w:kern w:val="0"/>
          <w14:ligatures w14:val="none"/>
        </w:rPr>
        <w:t xml:space="preserve"> A financial impact visual showing the volume of stale or non-compliant data securely deleted over time, plotted against the resulting reduction in data storage overhead costs, demonstrating tangible ROI.</w:t>
      </w:r>
    </w:p>
    <w:p w14:paraId="2D652166" w14:textId="77777777" w:rsidR="007B4AAD" w:rsidRPr="007B4AAD" w:rsidRDefault="005610F5" w:rsidP="007B4AAD">
      <w:pPr>
        <w:spacing w:after="0" w:line="240" w:lineRule="auto"/>
        <w:rPr>
          <w:rFonts w:ascii="Times New Roman" w:eastAsia="Times New Roman" w:hAnsi="Times New Roman" w:cs="Times New Roman"/>
          <w:kern w:val="0"/>
          <w14:ligatures w14:val="none"/>
        </w:rPr>
      </w:pPr>
      <w:r w:rsidRPr="005610F5">
        <w:rPr>
          <w:rFonts w:ascii="Times New Roman" w:eastAsia="Times New Roman" w:hAnsi="Times New Roman" w:cs="Times New Roman"/>
          <w:noProof/>
          <w:kern w:val="0"/>
        </w:rPr>
        <w:pict w14:anchorId="3B28A762">
          <v:rect id="_x0000_i1025" alt="" style="width:468pt;height:.05pt;mso-width-percent:0;mso-height-percent:0;mso-width-percent:0;mso-height-percent:0" o:hralign="center" o:hrstd="t" o:hr="t" fillcolor="#a0a0a0" stroked="f"/>
        </w:pict>
      </w:r>
    </w:p>
    <w:p w14:paraId="1BBF0094" w14:textId="77777777" w:rsidR="007B4AAD" w:rsidRPr="007B4AAD" w:rsidRDefault="007B4AAD" w:rsidP="007B4AAD">
      <w:pPr>
        <w:spacing w:before="100" w:beforeAutospacing="1" w:after="100" w:afterAutospacing="1" w:line="240" w:lineRule="auto"/>
        <w:rPr>
          <w:rFonts w:ascii="Times New Roman" w:eastAsia="Times New Roman" w:hAnsi="Times New Roman" w:cs="Times New Roman"/>
          <w:kern w:val="0"/>
          <w14:ligatures w14:val="none"/>
        </w:rPr>
      </w:pPr>
      <w:r w:rsidRPr="007B4AAD">
        <w:rPr>
          <w:rFonts w:ascii="Times New Roman" w:eastAsia="Times New Roman" w:hAnsi="Times New Roman" w:cs="Times New Roman"/>
          <w:b/>
          <w:bCs/>
          <w:kern w:val="0"/>
          <w14:ligatures w14:val="none"/>
        </w:rPr>
        <w:t>References (Chicago Manual of Style format for inclusion in the document):</w:t>
      </w:r>
    </w:p>
    <w:p w14:paraId="0985DBED" w14:textId="77777777" w:rsidR="007B4AAD" w:rsidRPr="007B4AAD" w:rsidRDefault="007B4AAD" w:rsidP="007B4AAD">
      <w:pPr>
        <w:spacing w:before="100" w:beforeAutospacing="1" w:after="100" w:afterAutospacing="1" w:line="240" w:lineRule="auto"/>
        <w:rPr>
          <w:rFonts w:ascii="Times New Roman" w:eastAsia="Times New Roman" w:hAnsi="Times New Roman" w:cs="Times New Roman"/>
          <w:kern w:val="0"/>
          <w14:ligatures w14:val="none"/>
        </w:rPr>
      </w:pPr>
      <w:r w:rsidRPr="007B4AAD">
        <w:rPr>
          <w:rFonts w:ascii="Times New Roman" w:eastAsia="Times New Roman" w:hAnsi="Times New Roman" w:cs="Times New Roman"/>
          <w:kern w:val="0"/>
          <w14:ligatures w14:val="none"/>
        </w:rPr>
        <w:t xml:space="preserve">DAMA International. 2017. </w:t>
      </w:r>
      <w:r w:rsidRPr="007B4AAD">
        <w:rPr>
          <w:rFonts w:ascii="Times New Roman" w:eastAsia="Times New Roman" w:hAnsi="Times New Roman" w:cs="Times New Roman"/>
          <w:i/>
          <w:iCs/>
          <w:kern w:val="0"/>
          <w14:ligatures w14:val="none"/>
        </w:rPr>
        <w:t>DAMA-DMBOK: Data Management Body of Knowledge</w:t>
      </w:r>
      <w:r w:rsidRPr="007B4AAD">
        <w:rPr>
          <w:rFonts w:ascii="Times New Roman" w:eastAsia="Times New Roman" w:hAnsi="Times New Roman" w:cs="Times New Roman"/>
          <w:kern w:val="0"/>
          <w14:ligatures w14:val="none"/>
        </w:rPr>
        <w:t>. 2nd ed. Basking Ridge, NJ: Technics Publications.</w:t>
      </w:r>
    </w:p>
    <w:p w14:paraId="6F52C260" w14:textId="77777777" w:rsidR="007B4AAD" w:rsidRPr="007B4AAD" w:rsidRDefault="007B4AAD" w:rsidP="007B4AAD">
      <w:pPr>
        <w:spacing w:before="100" w:beforeAutospacing="1" w:after="100" w:afterAutospacing="1" w:line="240" w:lineRule="auto"/>
        <w:rPr>
          <w:rFonts w:ascii="Times New Roman" w:eastAsia="Times New Roman" w:hAnsi="Times New Roman" w:cs="Times New Roman"/>
          <w:kern w:val="0"/>
          <w14:ligatures w14:val="none"/>
        </w:rPr>
      </w:pPr>
      <w:r w:rsidRPr="007B4AAD">
        <w:rPr>
          <w:rFonts w:ascii="Times New Roman" w:eastAsia="Times New Roman" w:hAnsi="Times New Roman" w:cs="Times New Roman"/>
          <w:kern w:val="0"/>
          <w14:ligatures w14:val="none"/>
        </w:rPr>
        <w:t>Gartner. 2021. "How to Stop Data Quality Undermining Your Business." Gartner Research. https://www.gartner.com/en/documents/3991674.</w:t>
      </w:r>
    </w:p>
    <w:p w14:paraId="54F7CE51" w14:textId="77777777" w:rsidR="007B4AAD" w:rsidRPr="007B4AAD" w:rsidRDefault="007B4AAD" w:rsidP="007B4AAD">
      <w:pPr>
        <w:spacing w:before="100" w:beforeAutospacing="1" w:after="100" w:afterAutospacing="1" w:line="240" w:lineRule="auto"/>
        <w:rPr>
          <w:rFonts w:ascii="Times New Roman" w:eastAsia="Times New Roman" w:hAnsi="Times New Roman" w:cs="Times New Roman"/>
          <w:kern w:val="0"/>
          <w14:ligatures w14:val="none"/>
        </w:rPr>
      </w:pPr>
      <w:r w:rsidRPr="007B4AAD">
        <w:rPr>
          <w:rFonts w:ascii="Times New Roman" w:eastAsia="Times New Roman" w:hAnsi="Times New Roman" w:cs="Times New Roman"/>
          <w:kern w:val="0"/>
          <w14:ligatures w14:val="none"/>
        </w:rPr>
        <w:t>ISO/IEC. 2022. "ISO/IEC 27001:2022 Information Security Management Systems — Requirements." International Organization for Standardization. https://www.iso.org/standard/27001.</w:t>
      </w:r>
    </w:p>
    <w:p w14:paraId="41B2D36A" w14:textId="77777777" w:rsidR="007B4AAD" w:rsidRPr="007B4AAD" w:rsidRDefault="007B4AAD" w:rsidP="007B4AAD">
      <w:pPr>
        <w:spacing w:before="100" w:beforeAutospacing="1" w:after="100" w:afterAutospacing="1" w:line="240" w:lineRule="auto"/>
        <w:rPr>
          <w:rFonts w:ascii="Times New Roman" w:eastAsia="Times New Roman" w:hAnsi="Times New Roman" w:cs="Times New Roman"/>
          <w:kern w:val="0"/>
          <w14:ligatures w14:val="none"/>
        </w:rPr>
      </w:pPr>
      <w:r w:rsidRPr="007B4AAD">
        <w:rPr>
          <w:rFonts w:ascii="Times New Roman" w:eastAsia="Times New Roman" w:hAnsi="Times New Roman" w:cs="Times New Roman"/>
          <w:kern w:val="0"/>
          <w14:ligatures w14:val="none"/>
        </w:rPr>
        <w:t>KPMG Lower Gulf. 2022. "The New Federal Data Protection Law 2021 of the United Arab Emirates." https://assets.kpmg.com.</w:t>
      </w:r>
    </w:p>
    <w:p w14:paraId="0465691F" w14:textId="77777777" w:rsidR="007B4AAD" w:rsidRPr="007B4AAD" w:rsidRDefault="007B4AAD" w:rsidP="007B4AAD">
      <w:pPr>
        <w:spacing w:before="100" w:beforeAutospacing="1" w:after="100" w:afterAutospacing="1" w:line="240" w:lineRule="auto"/>
        <w:rPr>
          <w:rFonts w:ascii="Times New Roman" w:eastAsia="Times New Roman" w:hAnsi="Times New Roman" w:cs="Times New Roman"/>
          <w:kern w:val="0"/>
          <w14:ligatures w14:val="none"/>
        </w:rPr>
      </w:pPr>
      <w:r w:rsidRPr="007B4AAD">
        <w:rPr>
          <w:rFonts w:ascii="Times New Roman" w:eastAsia="Times New Roman" w:hAnsi="Times New Roman" w:cs="Times New Roman"/>
          <w:kern w:val="0"/>
          <w14:ligatures w14:val="none"/>
        </w:rPr>
        <w:t>PCI Security Standards Council. 2022. "Payment Card Industry Data Security Standard (PCI DSS) v4.0." https://www.pcisecuritystandards.org/document_library/.</w:t>
      </w:r>
    </w:p>
    <w:p w14:paraId="417E750C" w14:textId="77777777" w:rsidR="007B4AAD" w:rsidRPr="007B4AAD" w:rsidRDefault="007B4AAD" w:rsidP="007B4AAD">
      <w:pPr>
        <w:spacing w:before="100" w:beforeAutospacing="1" w:after="100" w:afterAutospacing="1" w:line="240" w:lineRule="auto"/>
        <w:rPr>
          <w:rFonts w:ascii="Times New Roman" w:eastAsia="Times New Roman" w:hAnsi="Times New Roman" w:cs="Times New Roman"/>
          <w:kern w:val="0"/>
          <w14:ligatures w14:val="none"/>
        </w:rPr>
      </w:pPr>
      <w:r w:rsidRPr="007B4AAD">
        <w:rPr>
          <w:rFonts w:ascii="Times New Roman" w:eastAsia="Times New Roman" w:hAnsi="Times New Roman" w:cs="Times New Roman"/>
          <w:kern w:val="0"/>
          <w14:ligatures w14:val="none"/>
        </w:rPr>
        <w:lastRenderedPageBreak/>
        <w:t>United Arab Emirates Government. 2021. "Federal Decree-Law No. 45 of 2021 Regarding the Protection of Personal Data (PDPL)." https://uaelegislation.gov.ae/en/legislations/1972.</w:t>
      </w:r>
    </w:p>
    <w:p w14:paraId="7E60B01A" w14:textId="77777777" w:rsidR="0059646D" w:rsidRPr="0059646D" w:rsidRDefault="0059646D">
      <w:pPr>
        <w:rPr>
          <w:rFonts w:ascii="Times New Roman" w:hAnsi="Times New Roman" w:cs="Times New Roman"/>
        </w:rPr>
      </w:pPr>
    </w:p>
    <w:sectPr w:rsidR="0059646D" w:rsidRPr="0059646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35C2D"/>
    <w:multiLevelType w:val="multilevel"/>
    <w:tmpl w:val="D5AA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31666"/>
    <w:multiLevelType w:val="multilevel"/>
    <w:tmpl w:val="09A2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D1951"/>
    <w:multiLevelType w:val="multilevel"/>
    <w:tmpl w:val="D51C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F37D4"/>
    <w:multiLevelType w:val="multilevel"/>
    <w:tmpl w:val="D912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947C7"/>
    <w:multiLevelType w:val="multilevel"/>
    <w:tmpl w:val="B86E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9F02F9"/>
    <w:multiLevelType w:val="multilevel"/>
    <w:tmpl w:val="8CB4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4E5EF1"/>
    <w:multiLevelType w:val="multilevel"/>
    <w:tmpl w:val="00DE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896F11"/>
    <w:multiLevelType w:val="multilevel"/>
    <w:tmpl w:val="AB0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F37ADA"/>
    <w:multiLevelType w:val="multilevel"/>
    <w:tmpl w:val="8556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972C4F"/>
    <w:multiLevelType w:val="multilevel"/>
    <w:tmpl w:val="16B8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494576"/>
    <w:multiLevelType w:val="multilevel"/>
    <w:tmpl w:val="F5EA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021746">
    <w:abstractNumId w:val="7"/>
  </w:num>
  <w:num w:numId="2" w16cid:durableId="1677490238">
    <w:abstractNumId w:val="4"/>
  </w:num>
  <w:num w:numId="3" w16cid:durableId="774708932">
    <w:abstractNumId w:val="5"/>
  </w:num>
  <w:num w:numId="4" w16cid:durableId="2060739479">
    <w:abstractNumId w:val="10"/>
  </w:num>
  <w:num w:numId="5" w16cid:durableId="2019769666">
    <w:abstractNumId w:val="8"/>
  </w:num>
  <w:num w:numId="6" w16cid:durableId="875704536">
    <w:abstractNumId w:val="9"/>
  </w:num>
  <w:num w:numId="7" w16cid:durableId="53936758">
    <w:abstractNumId w:val="1"/>
  </w:num>
  <w:num w:numId="8" w16cid:durableId="484590278">
    <w:abstractNumId w:val="0"/>
  </w:num>
  <w:num w:numId="9" w16cid:durableId="648091112">
    <w:abstractNumId w:val="3"/>
  </w:num>
  <w:num w:numId="10" w16cid:durableId="685642798">
    <w:abstractNumId w:val="2"/>
  </w:num>
  <w:num w:numId="11" w16cid:durableId="778733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46D"/>
    <w:rsid w:val="004F70CD"/>
    <w:rsid w:val="005610F5"/>
    <w:rsid w:val="0059646D"/>
    <w:rsid w:val="0067073F"/>
    <w:rsid w:val="007B4AA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606CB"/>
  <w15:chartTrackingRefBased/>
  <w15:docId w15:val="{7155629A-8BEF-D948-86EC-5CF60054D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4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4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4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4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4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4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4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4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4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4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64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4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4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4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4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4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4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46D"/>
    <w:rPr>
      <w:rFonts w:eastAsiaTheme="majorEastAsia" w:cstheme="majorBidi"/>
      <w:color w:val="272727" w:themeColor="text1" w:themeTint="D8"/>
    </w:rPr>
  </w:style>
  <w:style w:type="paragraph" w:styleId="Title">
    <w:name w:val="Title"/>
    <w:basedOn w:val="Normal"/>
    <w:next w:val="Normal"/>
    <w:link w:val="TitleChar"/>
    <w:uiPriority w:val="10"/>
    <w:qFormat/>
    <w:rsid w:val="005964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4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46D"/>
    <w:pPr>
      <w:spacing w:before="160"/>
      <w:jc w:val="center"/>
    </w:pPr>
    <w:rPr>
      <w:i/>
      <w:iCs/>
      <w:color w:val="404040" w:themeColor="text1" w:themeTint="BF"/>
    </w:rPr>
  </w:style>
  <w:style w:type="character" w:customStyle="1" w:styleId="QuoteChar">
    <w:name w:val="Quote Char"/>
    <w:basedOn w:val="DefaultParagraphFont"/>
    <w:link w:val="Quote"/>
    <w:uiPriority w:val="29"/>
    <w:rsid w:val="0059646D"/>
    <w:rPr>
      <w:i/>
      <w:iCs/>
      <w:color w:val="404040" w:themeColor="text1" w:themeTint="BF"/>
    </w:rPr>
  </w:style>
  <w:style w:type="paragraph" w:styleId="ListParagraph">
    <w:name w:val="List Paragraph"/>
    <w:basedOn w:val="Normal"/>
    <w:uiPriority w:val="34"/>
    <w:qFormat/>
    <w:rsid w:val="0059646D"/>
    <w:pPr>
      <w:ind w:left="720"/>
      <w:contextualSpacing/>
    </w:pPr>
  </w:style>
  <w:style w:type="character" w:styleId="IntenseEmphasis">
    <w:name w:val="Intense Emphasis"/>
    <w:basedOn w:val="DefaultParagraphFont"/>
    <w:uiPriority w:val="21"/>
    <w:qFormat/>
    <w:rsid w:val="0059646D"/>
    <w:rPr>
      <w:i/>
      <w:iCs/>
      <w:color w:val="0F4761" w:themeColor="accent1" w:themeShade="BF"/>
    </w:rPr>
  </w:style>
  <w:style w:type="paragraph" w:styleId="IntenseQuote">
    <w:name w:val="Intense Quote"/>
    <w:basedOn w:val="Normal"/>
    <w:next w:val="Normal"/>
    <w:link w:val="IntenseQuoteChar"/>
    <w:uiPriority w:val="30"/>
    <w:qFormat/>
    <w:rsid w:val="005964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46D"/>
    <w:rPr>
      <w:i/>
      <w:iCs/>
      <w:color w:val="0F4761" w:themeColor="accent1" w:themeShade="BF"/>
    </w:rPr>
  </w:style>
  <w:style w:type="character" w:styleId="IntenseReference">
    <w:name w:val="Intense Reference"/>
    <w:basedOn w:val="DefaultParagraphFont"/>
    <w:uiPriority w:val="32"/>
    <w:qFormat/>
    <w:rsid w:val="0059646D"/>
    <w:rPr>
      <w:b/>
      <w:bCs/>
      <w:smallCaps/>
      <w:color w:val="0F4761" w:themeColor="accent1" w:themeShade="BF"/>
      <w:spacing w:val="5"/>
    </w:rPr>
  </w:style>
  <w:style w:type="character" w:customStyle="1" w:styleId="ng-star-inserted">
    <w:name w:val="ng-star-inserted"/>
    <w:basedOn w:val="DefaultParagraphFont"/>
    <w:rsid w:val="0059646D"/>
  </w:style>
  <w:style w:type="paragraph" w:customStyle="1" w:styleId="paragraph">
    <w:name w:val="paragraph"/>
    <w:basedOn w:val="Normal"/>
    <w:rsid w:val="0059646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B4A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B4AAD"/>
    <w:rPr>
      <w:b/>
      <w:bCs/>
    </w:rPr>
  </w:style>
  <w:style w:type="character" w:styleId="Emphasis">
    <w:name w:val="Emphasis"/>
    <w:basedOn w:val="DefaultParagraphFont"/>
    <w:uiPriority w:val="20"/>
    <w:qFormat/>
    <w:rsid w:val="007B4A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816</Words>
  <Characters>4842</Characters>
  <Application>Microsoft Office Word</Application>
  <DocSecurity>0</DocSecurity>
  <Lines>91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Manesh Sugathan Santha</dc:creator>
  <cp:keywords/>
  <dc:description/>
  <cp:lastModifiedBy>Manesh Sugathan Santha</cp:lastModifiedBy>
  <cp:revision>1</cp:revision>
  <dcterms:created xsi:type="dcterms:W3CDTF">2026-03-11T15:46:00Z</dcterms:created>
  <dcterms:modified xsi:type="dcterms:W3CDTF">2026-03-12T04:33:00Z</dcterms:modified>
</cp:coreProperties>
</file>