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Stakeholders</w:t>
      </w:r>
    </w:p>
    <w:p w:rsidR="00000000" w:rsidDel="00000000" w:rsidP="00000000" w:rsidRDefault="00000000" w:rsidRPr="00000000" w14:paraId="00000003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Identificar al menos 8 stakeholders (internos y externos).</w:t>
      </w:r>
    </w:p>
    <w:p w:rsidR="00000000" w:rsidDel="00000000" w:rsidP="00000000" w:rsidRDefault="00000000" w:rsidRPr="00000000" w14:paraId="00000004">
      <w:pPr>
        <w:pStyle w:val="Heading3"/>
        <w:rPr>
          <w:sz w:val="22"/>
          <w:szCs w:val="22"/>
        </w:rPr>
      </w:pPr>
      <w:bookmarkStart w:colFirst="0" w:colLast="0" w:name="_heading=h.x76jclgsjour" w:id="0"/>
      <w:bookmarkEnd w:id="0"/>
      <w:r w:rsidDel="00000000" w:rsidR="00000000" w:rsidRPr="00000000">
        <w:rPr>
          <w:sz w:val="22"/>
          <w:szCs w:val="22"/>
          <w:rtl w:val="0"/>
        </w:rPr>
        <w:t xml:space="preserve">Completar una tabla con rol, tipo, interés, influencia y estrategia de gestión.</w:t>
      </w:r>
    </w:p>
    <w:p w:rsidR="00000000" w:rsidDel="00000000" w:rsidP="00000000" w:rsidRDefault="00000000" w:rsidRPr="00000000" w14:paraId="00000005">
      <w:pPr>
        <w:pStyle w:val="Heading3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Mencionar 3 acciones para mantener alineados a los interesados.</w:t>
      </w:r>
      <w:r w:rsidDel="00000000" w:rsidR="00000000" w:rsidRPr="00000000">
        <w:rPr>
          <w:rtl w:val="0"/>
        </w:rPr>
      </w:r>
    </w:p>
    <w:bookmarkStart w:colFirst="0" w:colLast="0" w:name="bookmark=id.v6xoscgpbpvh" w:id="1"/>
    <w:bookmarkEnd w:id="1"/>
    <w:p w:rsidR="00000000" w:rsidDel="00000000" w:rsidP="00000000" w:rsidRDefault="00000000" w:rsidRPr="00000000" w14:paraId="00000006">
      <w:pPr>
        <w:pStyle w:val="Heading1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Stakeholders y Alineación</w:t>
      </w:r>
    </w:p>
    <w:bookmarkStart w:colFirst="0" w:colLast="0" w:name="bookmark=id.lj863jx7nfcs" w:id="2"/>
    <w:bookmarkEnd w:id="2"/>
    <w:p w:rsidR="00000000" w:rsidDel="00000000" w:rsidP="00000000" w:rsidRDefault="00000000" w:rsidRPr="00000000" w14:paraId="00000007">
      <w:pPr>
        <w:pStyle w:val="Heading2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Identificación y Clasificación de los 8 Stakeholders Clave</w:t>
      </w:r>
    </w:p>
    <w:bookmarkStart w:colFirst="0" w:colLast="0" w:name="bookmark=id.2x200lkvhcdm" w:id="3"/>
    <w:bookmarkEnd w:id="3"/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garantizar el éxito del Sistema de Gestión de Certificados Académicos (SGCA), se han identificado y categorizado 8 partes interesadas fundamentales (internas y externas al equipo de desarrollo):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Alumnos / Estudiantes: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Usuarios finales que solicitan y descargan los certificados. (Externo / Operativo)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Personal Administrativo de Gestión Académica: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Funcionarios que validan manualmente casos excepcionales o atienden consultas por certificados denegados. (Interno / Operativo)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Secretaría Académica / Dirección: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Patrocinadores ejecutivos que aprueban el presupuesto y supervisan el cumplimiento institucional. (Interno / Estratégico)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Equipo de Desarrollo (Desarrolladores Node.js y React):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Responsables de construir el código y desplegar la solución técnica. (Interno / Técnico)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Especialista en QA (Tester):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Responsable de validar la calidad, la regla de negocio del analítico y las pruebas funcionales. (Interno / Técnico)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Diseñador UX/UI: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Responsable de la experiencia de usuario en la interfaz web de solicitud. (Interno / Técnico)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Departamento de Infraestructura / TI de la Universidad: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Propietarios de los servidores, bases de datos y sistemas de alumnos existentes (con quienes se conecta en modo solo lectura). (Interno / Soporte Técnico)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Auditoría Interna / Compliance: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Organismo encargado de verificar que el sistema cumpla con la normativa de emisión de documentos oficiales y trazabilidad de auditoría. (Interno / Gobernanza)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Matriz de Interés vs. Influencia y Estrategias de Gestión</w:t>
      </w:r>
    </w:p>
    <w:bookmarkStart w:colFirst="0" w:colLast="0" w:name="bookmark=id.o0wxkh8obol5" w:id="4"/>
    <w:bookmarkEnd w:id="4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Ind w:w="-28.0" w:type="dxa"/>
        <w:tblLayout w:type="fixed"/>
        <w:tblLook w:val="0000"/>
      </w:tblPr>
      <w:tblGrid>
        <w:gridCol w:w="2097"/>
        <w:gridCol w:w="908"/>
        <w:gridCol w:w="1110"/>
        <w:gridCol w:w="1430"/>
        <w:gridCol w:w="4921"/>
        <w:tblGridChange w:id="0">
          <w:tblGrid>
            <w:gridCol w:w="2097"/>
            <w:gridCol w:w="908"/>
            <w:gridCol w:w="1110"/>
            <w:gridCol w:w="1430"/>
            <w:gridCol w:w="49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Nivel de Interés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Nivel de Influencia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Estrategia de Gestión / Enfoque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Mantener Informados: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Proveer una interfaz intuitiva, guías rápidas claras y notificaciones automáticas transparentes.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Personal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Mantener Satisfechos: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Involucrarlos en las pruebas de aceptación para asegurar que la automatización reduzca su carga operativa real.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Secretaría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Gestionar de Cerca (Partners Clave):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Informar semanalmente sobre el avance, consumo del presupuesto y cumplimiento de los hitos del cronograma.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Gestionar de Cerca: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Proveer requerimientos claros, historias de usuario estables y evitar cambios de alcance de última hora.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Tester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Gestionar de Cerca: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Suministrar criterios de aceptación claros (BDD) y asegurar tiempos lógicos para pruebas de calidad.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Diseñador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Mantener Informados: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Alinear los flujos de pantallas con las restricciones técnicas del backend en Node.js y React.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Infraestructura /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Gestionar de Cerca: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Acordar tempranamente los accesos de solo lectura a la base de datos existente y esquemas de seguridad.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Auditoría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Mantener Satisfechos: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Validar los requerimientos de registro de auditoría y formato legal de los PDFs emitidos.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Acciones Concretas de Alineación</w:t>
      </w:r>
    </w:p>
    <w:bookmarkStart w:colFirst="0" w:colLast="0" w:name="bookmark=id.frqponq0elxg" w:id="5"/>
    <w:bookmarkEnd w:id="5"/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mantener a los interesados alineados y evitar sorpresas durante las 6 semanas de ejecución del proyecto, se implementarán las siguientes 3 acciones: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Reuniones de Demostración Semanal (Sprint Reviews):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Al finalizar cada iteración, se presentará un avance funcional del módulo de certificados a la Secretaría Académica y al personal administrativo para recibir retroalimentación temprana.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Canal de Comunicación y Reportes Automatizados (Slack/Teams):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Publicación semanal de un informe de avance con un semáforo de estado claro, métricas de rendimiento y alertas tempranas para los tomadores de decisiones.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Comité de Control de Cambios (Change Control Board):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Instancia formal donde Secretaría Académica y TI evalúan cualquier solicitud extraordinaria para proteger el proyecto contra 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scope creep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sin descuidar las prioridades institucionales. </w:t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mbolosdenumeracin">
    <w:name w:val="Símbolos de numeración"/>
    <w:qFormat w:val="1"/>
    <w:rPr/>
  </w:style>
  <w:style w:type="character" w:styleId="Bolos">
    <w:name w:val="Bolos"/>
    <w:qFormat w:val="1"/>
    <w:rPr>
      <w:rFonts w:ascii="OpenSymbol" w:cs="OpenSymbol" w:eastAsia="OpenSymbol" w:hAnsi="OpenSymbol"/>
    </w:rPr>
  </w:style>
  <w:style w:type="character" w:styleId="Emphasis">
    <w:name w:val="Emphasis"/>
    <w:qFormat w:val="1"/>
    <w:rPr>
      <w:i w:val="1"/>
      <w:iCs w:val="1"/>
    </w:rPr>
  </w:style>
  <w:style w:type="character" w:styleId="Strong">
    <w:name w:val="Strong"/>
    <w:qFormat w:val="1"/>
    <w:rPr>
      <w:b w:val="1"/>
      <w:bCs w:val="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s-AR"/>
    </w:rPr>
  </w:style>
  <w:style w:type="paragraph" w:styleId="Lneahorizontal">
    <w:name w:val="Línea horizontal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paragraph" w:styleId="Contenidodelatabla">
    <w:name w:val="Contenido de la tabla"/>
    <w:basedOn w:val="Normal"/>
    <w:qFormat w:val="1"/>
    <w:pPr>
      <w:widowControl w:val="0"/>
      <w:suppressLineNumbers w:val="1"/>
    </w:pPr>
    <w:rPr/>
  </w:style>
  <w:style w:type="paragraph" w:styleId="Ttulodelatabla">
    <w:name w:val="Título de la tabla"/>
    <w:basedOn w:val="Contenidodelatabla"/>
    <w:qFormat w:val="1"/>
    <w:pPr>
      <w:suppressLineNumbers w:val="1"/>
      <w:jc w:val="center"/>
    </w:pPr>
    <w:rPr>
      <w:b w:val="1"/>
      <w:bCs w:val="1"/>
    </w:rPr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hy/ObL7I9XP4PGTGIDOyzNkQg==">CgMxLjAyDmgueDc2amNsZ3Nqb3VyMg9pZC52Nnhvc2NncGJwdmgyD2lkLmxqODYzang3bmZjczIPaWQuMngyMDBsa3ZoY2RtMg9pZC5vMHd4a2g4b2JvbDUyD2lkLmZycXBvbnEwZWx4ZzgAciExZmVOVzI2N28wN2ZOWWdtQjNoQkNaM2w0czRsRVR5NnQ=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2026-10-15T08:43:00Z</dcterms:created>
  <dc:creator>Front_2</dc:creator>
</cp:coreProperties>
</file>