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0"/>
        <w:jc w:val="right"/>
        <w:rPr>
          <w:b/>
          <w:bCs/>
        </w:rPr>
      </w:pPr>
      <w:r>
        <w:rPr/>
      </w:r>
    </w:p>
    <w:p>
      <w:pPr>
        <w:pStyle w:val="normal1"/>
        <w:spacing w:lineRule="auto" w:line="240" w:before="0" w:after="0"/>
        <w:jc w:val="both"/>
        <w:rPr>
          <w:b/>
          <w:bCs/>
        </w:rPr>
      </w:pPr>
      <w:r>
        <w:rPr>
          <w:b/>
          <w:bCs/>
        </w:rPr>
        <w:t>Objetivo</w:t>
      </w:r>
    </w:p>
    <w:p>
      <w:pPr>
        <w:pStyle w:val="BodyText"/>
        <w:spacing w:lineRule="auto" w:line="240" w:before="0" w:after="0"/>
        <w:jc w:val="both"/>
        <w:rPr/>
      </w:pPr>
      <w:r>
        <w:rPr/>
        <w:t xml:space="preserve">Stakeholders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Identificar al menos 8 stakeholders (internos y externos).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Completar una tabla con rol, tipo, interés, influencia y estrategia de gestión.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Mencionar 3 acciones para mantener alineados a los interesados. </w:t>
      </w:r>
    </w:p>
    <w:p>
      <w:pPr>
        <w:pStyle w:val="Heading2"/>
        <w:spacing w:lineRule="auto" w:line="240" w:before="0" w:after="0"/>
        <w:jc w:val="both"/>
        <w:rPr/>
      </w:pPr>
      <w:r>
        <w:rPr/>
        <w:t>Punto 2: Stakeholders y Alineación (content/02-stakeholders.md)</w:t>
      </w:r>
    </w:p>
    <w:p>
      <w:pPr>
        <w:pStyle w:val="Heading3"/>
        <w:ind w:hanging="0" w:left="0" w:right="0"/>
        <w:rPr/>
      </w:pPr>
      <w:bookmarkStart w:id="0" w:name="user-content-punto-2-stakeholders-y-alin"/>
      <w:bookmarkEnd w:id="0"/>
      <w:r>
        <w:rPr/>
        <w:t>Identificación y clasificación de los 8 Stakeholders clave.</w:t>
      </w:r>
    </w:p>
    <w:p>
      <w:pPr>
        <w:pStyle w:val="Heading3"/>
        <w:ind w:hanging="0" w:left="0" w:right="0"/>
        <w:rPr/>
      </w:pPr>
      <w:bookmarkStart w:id="1" w:name="user-content-identificación-y-clasificac"/>
      <w:bookmarkEnd w:id="1"/>
      <w:r>
        <w:rPr/>
        <w:t>Matriz de Interés vs. Influencia y estrategias de gestión.</w:t>
      </w:r>
    </w:p>
    <w:p>
      <w:pPr>
        <w:pStyle w:val="Heading3"/>
        <w:ind w:hanging="0" w:left="0" w:right="0"/>
        <w:rPr/>
      </w:pPr>
      <w:bookmarkStart w:id="2" w:name="user-content-matriz-de-interés-vs-influe"/>
      <w:bookmarkEnd w:id="2"/>
      <w:r>
        <w:rPr/>
        <w:t>Acciones concretas de alineación.</w:t>
      </w:r>
    </w:p>
    <w:p>
      <w:pPr>
        <w:pStyle w:val="Heading1"/>
        <w:ind w:hanging="0" w:left="0" w:right="0"/>
        <w:rPr/>
      </w:pPr>
      <w:bookmarkStart w:id="3" w:name="user-content-acciones-concretas-de-aline"/>
      <w:bookmarkEnd w:id="3"/>
      <w:r>
        <w:rPr/>
        <w:t>2. Stakeholders y Alineación</w:t>
      </w:r>
    </w:p>
    <w:p>
      <w:pPr>
        <w:pStyle w:val="Heading2"/>
        <w:ind w:hanging="0" w:left="0" w:right="0"/>
        <w:rPr/>
      </w:pPr>
      <w:bookmarkStart w:id="4" w:name="user-content-2-stakeholders-y-alineación"/>
      <w:bookmarkEnd w:id="4"/>
      <w:r>
        <w:rPr/>
        <w:t>Identificación y Clasificación de los 8 Stakeholders Clave</w:t>
      </w:r>
    </w:p>
    <w:p>
      <w:pPr>
        <w:pStyle w:val="BodyText"/>
        <w:ind w:hanging="0" w:left="0" w:right="0"/>
        <w:rPr/>
      </w:pPr>
      <w:bookmarkStart w:id="5" w:name="user-content-identificación-y-clasifica1"/>
      <w:bookmarkEnd w:id="5"/>
      <w:r>
        <w:rPr/>
        <w:t>Para garantizar el éxito del Sistema de Gestión de Certificados Académicos (SGCA), se han identificado y categorizado 8 partes interesadas fundamentales (internas y externas al equipo de desarrollo):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Alumnos / Estudiantes:</w:t>
      </w:r>
      <w:r>
        <w:rPr/>
        <w:t xml:space="preserve"> Usuarios finales que solicitan y descargan los certificados. (Externo / Operativo)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Personal Administrativo de Gestión Académica:</w:t>
      </w:r>
      <w:r>
        <w:rPr/>
        <w:t xml:space="preserve"> Funcionarios que validan manualmente casos excepcionales o atienden consultas por certificados denegados. (Interno / Operativo)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Secretaría Académica / Dirección:</w:t>
      </w:r>
      <w:r>
        <w:rPr/>
        <w:t xml:space="preserve"> Patrocinadores ejecutivos que aprueban el presupuesto y supervisan el cumplimiento institucional. (Interno / Estratégico)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Equipo de Desarrollo (Desarrolladores Node.js y React):</w:t>
      </w:r>
      <w:r>
        <w:rPr/>
        <w:t xml:space="preserve"> Responsables de construir el código y desplegar la solución técnica. (Interno / Técnico)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Especialista en QA (Tester):</w:t>
      </w:r>
      <w:r>
        <w:rPr/>
        <w:t xml:space="preserve"> Responsable de validar la calidad, la regla de negocio del analítico y las pruebas funcionales. (Interno / Técnico)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Diseñador UX/UI:</w:t>
      </w:r>
      <w:r>
        <w:rPr/>
        <w:t xml:space="preserve"> Responsable de la experiencia de usuario en la interfaz web de solicitud. (Interno / Técnico)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Departamento de Infraestructura / TI de la Universidad:</w:t>
      </w:r>
      <w:r>
        <w:rPr/>
        <w:t xml:space="preserve"> Propietarios de los servidores, bases de datos y sistemas de alumnos existentes (con quienes se conecta en modo solo lectura). (Interno / Soporte Técnico)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Auditoría Interna / Compliance:</w:t>
      </w:r>
      <w:r>
        <w:rPr/>
        <w:t xml:space="preserve"> Organismo encargado de verificar que el sistema cumpla con la normativa de emisión de documentos oficiales y trazabilidad de auditoría. (Interno / Gobernanza) </w:t>
      </w:r>
    </w:p>
    <w:p>
      <w:pPr>
        <w:pStyle w:val="Lneahorizontal"/>
        <w:rPr/>
      </w:pPr>
      <w:r>
        <w:rPr/>
      </w:r>
    </w:p>
    <w:p>
      <w:pPr>
        <w:pStyle w:val="Heading2"/>
        <w:rPr/>
      </w:pPr>
      <w:r>
        <w:rPr/>
        <w:t>Matriz de Interés vs. Influencia y Estrategias de Gestión</w:t>
      </w:r>
    </w:p>
    <w:p>
      <w:pPr>
        <w:pStyle w:val="Normal"/>
        <w:spacing w:before="0" w:after="0"/>
        <w:ind w:hanging="0" w:left="0" w:right="0"/>
        <w:rPr>
          <w:sz w:val="4"/>
          <w:szCs w:val="4"/>
        </w:rPr>
      </w:pPr>
      <w:r>
        <w:rPr>
          <w:sz w:val="4"/>
          <w:szCs w:val="4"/>
        </w:rPr>
      </w:r>
      <w:bookmarkStart w:id="6" w:name="user-content-matriz-de-interés-vs-influ1"/>
      <w:bookmarkStart w:id="7" w:name="user-content-matriz-de-interés-vs-influ1"/>
      <w:bookmarkEnd w:id="7"/>
    </w:p>
    <w:tbl>
      <w:tblPr>
        <w:tblW w:w="1046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97"/>
        <w:gridCol w:w="908"/>
        <w:gridCol w:w="1110"/>
        <w:gridCol w:w="1430"/>
        <w:gridCol w:w="4921"/>
      </w:tblGrid>
      <w:tr>
        <w:trPr>
          <w:tblHeader w:val="true"/>
        </w:trPr>
        <w:tc>
          <w:tcPr>
            <w:tcW w:w="2097" w:type="dxa"/>
            <w:tcBorders/>
            <w:vAlign w:val="center"/>
          </w:tcPr>
          <w:p>
            <w:pPr>
              <w:pStyle w:val="Ttulodelatabla"/>
              <w:spacing w:before="0" w:after="160"/>
              <w:jc w:val="left"/>
              <w:rPr/>
            </w:pPr>
            <w:r>
              <w:rPr/>
              <w:t>Stakeholder</w:t>
            </w:r>
          </w:p>
        </w:tc>
        <w:tc>
          <w:tcPr>
            <w:tcW w:w="908" w:type="dxa"/>
            <w:tcBorders/>
            <w:vAlign w:val="center"/>
          </w:tcPr>
          <w:p>
            <w:pPr>
              <w:pStyle w:val="Ttulodelatabla"/>
              <w:spacing w:before="0" w:after="160"/>
              <w:jc w:val="left"/>
              <w:rPr/>
            </w:pPr>
            <w:r>
              <w:rPr/>
              <w:t>Tipo</w:t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Ttulodelatabla"/>
              <w:spacing w:before="0" w:after="160"/>
              <w:jc w:val="left"/>
              <w:rPr/>
            </w:pPr>
            <w:r>
              <w:rPr/>
              <w:t>Nivel de Interés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Ttulodelatabla"/>
              <w:spacing w:before="0" w:after="160"/>
              <w:jc w:val="left"/>
              <w:rPr/>
            </w:pPr>
            <w:r>
              <w:rPr/>
              <w:t>Nivel de Influencia</w:t>
            </w:r>
          </w:p>
        </w:tc>
        <w:tc>
          <w:tcPr>
            <w:tcW w:w="4921" w:type="dxa"/>
            <w:tcBorders/>
            <w:vAlign w:val="center"/>
          </w:tcPr>
          <w:p>
            <w:pPr>
              <w:pStyle w:val="Ttulodelatabla"/>
              <w:spacing w:before="0" w:after="160"/>
              <w:jc w:val="left"/>
              <w:rPr/>
            </w:pPr>
            <w:r>
              <w:rPr/>
              <w:t>Estrategia de Gestión / Enfoque</w:t>
            </w:r>
          </w:p>
        </w:tc>
      </w:tr>
      <w:tr>
        <w:trPr/>
        <w:tc>
          <w:tcPr>
            <w:tcW w:w="2097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>
                <w:rStyle w:val="Strong"/>
              </w:rPr>
              <w:t>1. Alumnos</w:t>
            </w:r>
          </w:p>
        </w:tc>
        <w:tc>
          <w:tcPr>
            <w:tcW w:w="908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/>
              <w:t>Externo</w:t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/>
              <w:t>Alto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/>
              <w:t>Bajo</w:t>
            </w:r>
          </w:p>
        </w:tc>
        <w:tc>
          <w:tcPr>
            <w:tcW w:w="4921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>
                <w:rStyle w:val="Strong"/>
              </w:rPr>
              <w:t>Mantener Informados:</w:t>
            </w:r>
            <w:r>
              <w:rPr/>
              <w:t xml:space="preserve"> Proveer una interfaz intuitiva, guías rápidas claras y notificaciones automáticas transparentes.</w:t>
            </w:r>
          </w:p>
        </w:tc>
      </w:tr>
      <w:tr>
        <w:trPr/>
        <w:tc>
          <w:tcPr>
            <w:tcW w:w="2097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>
                <w:rStyle w:val="Strong"/>
              </w:rPr>
              <w:t>2. Personal Administrativo</w:t>
            </w:r>
          </w:p>
        </w:tc>
        <w:tc>
          <w:tcPr>
            <w:tcW w:w="908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/>
              <w:t>Interno</w:t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/>
              <w:t>Alto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/>
              <w:t>Medio</w:t>
            </w:r>
          </w:p>
        </w:tc>
        <w:tc>
          <w:tcPr>
            <w:tcW w:w="4921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>
                <w:rStyle w:val="Strong"/>
              </w:rPr>
              <w:t>Mantener Satisfechos:</w:t>
            </w:r>
            <w:r>
              <w:rPr/>
              <w:t xml:space="preserve"> Involucrarlos en las pruebas de aceptación para asegurar que la automatización reduzca su carga operativa real.</w:t>
            </w:r>
          </w:p>
        </w:tc>
      </w:tr>
      <w:tr>
        <w:trPr/>
        <w:tc>
          <w:tcPr>
            <w:tcW w:w="2097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>
                <w:rStyle w:val="Strong"/>
              </w:rPr>
              <w:t>3. Secretaría Académica</w:t>
            </w:r>
          </w:p>
        </w:tc>
        <w:tc>
          <w:tcPr>
            <w:tcW w:w="908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/>
              <w:t>Interno</w:t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/>
              <w:t>Alto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/>
              <w:t>Alto</w:t>
            </w:r>
          </w:p>
        </w:tc>
        <w:tc>
          <w:tcPr>
            <w:tcW w:w="4921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>
                <w:rStyle w:val="Strong"/>
              </w:rPr>
              <w:t>Gestionar de Cerca (Partners Clave):</w:t>
            </w:r>
            <w:r>
              <w:rPr/>
              <w:t xml:space="preserve"> Informar semanalmente sobre el avance, consumo del presupuesto y cumplimiento de los hitos del cronograma.</w:t>
            </w:r>
          </w:p>
        </w:tc>
      </w:tr>
      <w:tr>
        <w:trPr/>
        <w:tc>
          <w:tcPr>
            <w:tcW w:w="2097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>
                <w:rStyle w:val="Strong"/>
              </w:rPr>
              <w:t>4. Equipo de Desarrollo</w:t>
            </w:r>
          </w:p>
        </w:tc>
        <w:tc>
          <w:tcPr>
            <w:tcW w:w="908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/>
              <w:t>Interno</w:t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/>
              <w:t>Alto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/>
              <w:t>Alto</w:t>
            </w:r>
          </w:p>
        </w:tc>
        <w:tc>
          <w:tcPr>
            <w:tcW w:w="4921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>
                <w:rStyle w:val="Strong"/>
              </w:rPr>
              <w:t>Gestionar de Cerca:</w:t>
            </w:r>
            <w:r>
              <w:rPr/>
              <w:t xml:space="preserve"> Proveer requerimientos claros, historias de usuario estables y evitar cambios de alcance de última hora.</w:t>
            </w:r>
          </w:p>
        </w:tc>
      </w:tr>
      <w:tr>
        <w:trPr/>
        <w:tc>
          <w:tcPr>
            <w:tcW w:w="2097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>
                <w:rStyle w:val="Strong"/>
              </w:rPr>
              <w:t>5. Tester (QA)</w:t>
            </w:r>
          </w:p>
        </w:tc>
        <w:tc>
          <w:tcPr>
            <w:tcW w:w="908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/>
              <w:t>Interno</w:t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/>
              <w:t>Alto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/>
              <w:t>Medio</w:t>
            </w:r>
          </w:p>
        </w:tc>
        <w:tc>
          <w:tcPr>
            <w:tcW w:w="4921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>
                <w:rStyle w:val="Strong"/>
              </w:rPr>
              <w:t>Gestionar de Cerca:</w:t>
            </w:r>
            <w:r>
              <w:rPr/>
              <w:t xml:space="preserve"> Suministrar criterios de aceptación claros (BDD) y asegurar tiempos lógicos para pruebas de calidad.</w:t>
            </w:r>
          </w:p>
        </w:tc>
      </w:tr>
      <w:tr>
        <w:trPr/>
        <w:tc>
          <w:tcPr>
            <w:tcW w:w="2097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>
                <w:rStyle w:val="Strong"/>
              </w:rPr>
              <w:t>6. Diseñador UX/UI</w:t>
            </w:r>
          </w:p>
        </w:tc>
        <w:tc>
          <w:tcPr>
            <w:tcW w:w="908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/>
              <w:t>Interno</w:t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/>
              <w:t>Medio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/>
              <w:t>Medio</w:t>
            </w:r>
          </w:p>
        </w:tc>
        <w:tc>
          <w:tcPr>
            <w:tcW w:w="4921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>
                <w:rStyle w:val="Strong"/>
              </w:rPr>
              <w:t>Mantener Informados:</w:t>
            </w:r>
            <w:r>
              <w:rPr/>
              <w:t xml:space="preserve"> Alinear los flujos de pantallas con las restricciones técnicas del backend en Node.js y React.</w:t>
            </w:r>
          </w:p>
        </w:tc>
      </w:tr>
      <w:tr>
        <w:trPr/>
        <w:tc>
          <w:tcPr>
            <w:tcW w:w="2097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>
                <w:rStyle w:val="Strong"/>
              </w:rPr>
              <w:t>7. Infraestructura / TI</w:t>
            </w:r>
          </w:p>
        </w:tc>
        <w:tc>
          <w:tcPr>
            <w:tcW w:w="908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/>
              <w:t>Interno</w:t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/>
              <w:t>Alto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/>
              <w:t>Alto</w:t>
            </w:r>
          </w:p>
        </w:tc>
        <w:tc>
          <w:tcPr>
            <w:tcW w:w="4921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>
                <w:rStyle w:val="Strong"/>
              </w:rPr>
              <w:t>Gestionar de Cerca:</w:t>
            </w:r>
            <w:r>
              <w:rPr/>
              <w:t xml:space="preserve"> Acordar tempranamente los accesos de solo lectura a la base de datos existente y esquemas de seguridad.</w:t>
            </w:r>
          </w:p>
        </w:tc>
      </w:tr>
      <w:tr>
        <w:trPr/>
        <w:tc>
          <w:tcPr>
            <w:tcW w:w="2097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>
                <w:rStyle w:val="Strong"/>
              </w:rPr>
              <w:t>8. Auditoría / Compliance</w:t>
            </w:r>
          </w:p>
        </w:tc>
        <w:tc>
          <w:tcPr>
            <w:tcW w:w="908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/>
              <w:t>Interno</w:t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/>
              <w:t>Medio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/>
              <w:t>Alto</w:t>
            </w:r>
          </w:p>
        </w:tc>
        <w:tc>
          <w:tcPr>
            <w:tcW w:w="4921" w:type="dxa"/>
            <w:tcBorders/>
            <w:vAlign w:val="center"/>
          </w:tcPr>
          <w:p>
            <w:pPr>
              <w:pStyle w:val="Contenidodelatabla"/>
              <w:spacing w:before="0" w:after="160"/>
              <w:jc w:val="left"/>
              <w:rPr/>
            </w:pPr>
            <w:r>
              <w:rPr>
                <w:rStyle w:val="Strong"/>
              </w:rPr>
              <w:t>Mantener Satisfechos:</w:t>
            </w:r>
            <w:r>
              <w:rPr/>
              <w:t xml:space="preserve"> Validar los requerimientos de registro de auditoría y formato legal de los PDFs emitidos.</w:t>
            </w:r>
          </w:p>
        </w:tc>
      </w:tr>
    </w:tbl>
    <w:p>
      <w:pPr>
        <w:pStyle w:val="Lneahorizontal"/>
        <w:rPr/>
      </w:pPr>
      <w:r>
        <w:rPr/>
      </w:r>
    </w:p>
    <w:p>
      <w:pPr>
        <w:pStyle w:val="Heading2"/>
        <w:rPr/>
      </w:pPr>
      <w:r>
        <w:rPr/>
        <w:t>Acciones Concretas de Alineación</w:t>
      </w:r>
    </w:p>
    <w:p>
      <w:pPr>
        <w:pStyle w:val="BodyText"/>
        <w:ind w:hanging="0" w:left="0" w:right="0"/>
        <w:rPr/>
      </w:pPr>
      <w:bookmarkStart w:id="8" w:name="user-content-acciones-concretas-de-alin1"/>
      <w:bookmarkEnd w:id="8"/>
      <w:r>
        <w:rPr/>
        <w:t>Para mantener a los interesados alineados y evitar sorpresas durante las 6 semanas de ejecución del proyecto, se implementarán las siguientes 3 acciones: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Reuniones de Demostración Semanal (Sprint Reviews):</w:t>
      </w:r>
      <w:r>
        <w:rPr/>
        <w:t xml:space="preserve"> Al finalizar cada iteración, se presentará un avance funcional del módulo de certificados a la Secretaría Académica y al personal administrativo para recibir retroalimentación temprana. 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Canal de Comunicación y Reportes Automatizados (Slack/Teams):</w:t>
      </w:r>
      <w:r>
        <w:rPr/>
        <w:t xml:space="preserve"> Publicación semanal de un informe de avance con un semáforo de estado claro, métricas de rendimiento y alertas tempranas para los tomadores de decisiones. 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Comité de Control de Cambios (Change Control Board):</w:t>
      </w:r>
      <w:r>
        <w:rPr/>
        <w:t xml:space="preserve"> Instancia formal donde Secretaría Académica y TI evalúan cualquier solicitud extraordinaria para proteger el proyecto contra el </w:t>
      </w:r>
      <w:r>
        <w:rPr>
          <w:rStyle w:val="Emphasis"/>
        </w:rPr>
        <w:t>scope creep</w:t>
      </w:r>
      <w:r>
        <w:rPr/>
        <w:t xml:space="preserve"> sin descuidar las prioridades institucionales. </w:t>
      </w:r>
    </w:p>
    <w:p>
      <w:pPr>
        <w:pStyle w:val="BodyText"/>
        <w:spacing w:lineRule="auto" w:line="240" w:before="0" w:after="0"/>
        <w:jc w:val="both"/>
        <w:rPr/>
      </w:pPr>
      <w:r>
        <w:rPr/>
      </w:r>
    </w:p>
    <w:sectPr>
      <w:type w:val="nextPage"/>
      <w:pgSz w:w="11906" w:h="16838"/>
      <w:pgMar w:left="720" w:right="720" w:gutter="0" w:header="0" w:top="720" w:footer="0" w:bottom="72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OpenSymbol">
    <w:altName w:val="Arial Unicode MS"/>
    <w:charset w:val="02"/>
    <w:family w:val="auto"/>
    <w:pitch w:val="default"/>
    <w:embedRegular r:id="rId5" w:fontKey="{05014A78-CABC-4EF0-12AC-5CD89AEFDE05}"/>
  </w:font>
  <w:font w:name="Liberation Sans">
    <w:altName w:val="Arial"/>
    <w:charset w:val="01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Georgia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A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A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mbolosdenumeracin">
    <w:name w:val="Símbolos de numeración"/>
    <w:qFormat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AR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Lneahorizontal">
    <w:name w:val="Líne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Y/YJFTWW8MnCZ3X5nZ0uycB7Zw==">CgMxLjA4AHIhMUtIZVRDZ25tMHpkVjdUSDlnVEVOaG1XSW1EbWxUVTVN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LibreOffice/24.2.7.2$Linux_X86_64 LibreOffice_project/420$Build-2</Application>
  <AppVersion>15.0000</AppVersion>
  <Pages>3</Pages>
  <Words>614</Words>
  <Characters>3733</Characters>
  <CharactersWithSpaces>4277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2026-10-15T08:43:00Z</dcterms:created>
  <dc:creator>Front_2</dc:creator>
  <dc:description/>
  <dc:language>es-AR</dc:language>
  <cp:lastModifiedBy/>
  <dcterms:modified xsi:type="dcterms:W3CDTF">2026-10-20T18:25:05Z</dcterms:modified>
  <cp:revision>4</cp:revision>
  <dc:subject/>
  <dc:title/>
</cp:coreProperties>
</file>