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spacing w:after="160" w:before="360"/>
      </w:pPr>
      <w:r>
        <w:t xml:space="preserve">1. Ganancia del proyecto</w:t>
      </w:r>
    </w:p>
    <w:p>
      <w:pPr>
        <w:spacing w:after="150"/>
      </w:pPr>
      <w:r>
        <w:rPr>
          <w:b w:val="false"/>
          <w:bCs w:val="false"/>
          <w:i w:val="false"/>
          <w:iCs w:val="false"/>
        </w:rPr>
        <w:t xml:space="preserve">Sobre el costo total estimado del proyecto ($24.766.574,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$24.766.574</w:t>
            </w:r>
          </w:p>
        </w:tc>
      </w:tr>
      <w:t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$6.191.644</w:t>
            </w:r>
          </w:p>
        </w:tc>
      </w:tr>
      <w:t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$30.958.218 / $6.191.644</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($0),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($18.750 + $36.500 = $16.750),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 5.10)</w:t>
            </w:r>
          </w:p>
        </w:tc>
      </w:tr>
      <w:t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($30.958.218), no contra el costo puro: la diferencia entre ambos ($6.191.644)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$71.150) queda condicionado a que la medición del telar (tarea 5.10 del Gantt) confirme el diseño y la cantidad de relés de selección necesarios (hasta entonces, ese monto es una estimación y no un compromiso de compra).</w:t>
      </w:r>
    </w:p>
    <w:p>
      <w:pPr>
        <w:pStyle w:val="Heading1"/>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Marcha/Pausa; Nivel 2: Dobby con relés de selección,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w:t>
      </w:r>
    </w:p>
    <w:p>
      <w:pPr>
        <w:pStyle w:val="ListParagraph"/>
        <w:numPr>
          <w:ilvl w:val="0"/>
          <w:numId w:val="1"/>
        </w:numPr>
        <w:spacing w:after="90"/>
      </w:pPr>
      <w:r>
        <w:t xml:space="preserve">Última presentación / cierre de proyecto: fines de octubre de 2026 (Etapa 08, 14/11/2026 como fecha límite),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(39,6% Hardware / 60,4% Software). Los componentes electrónicos ($71.150) se asignan 100% a Hardware por ser piezas físicas; los gastos varios se prorratean igual que el personal compartido.</w:t>
      </w:r>
    </w:p>
    <w:p>
      <w:pPr>
        <w:pStyle w:val="Heading2"/>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$9.855.486</w:t>
            </w:r>
          </w:p>
        </w:tc>
        <w:tc>
          <w:tcPr>
            <w:tcW w:type="dxa" w:w="2500"/>
            <w:vAlign w:val="center"/>
          </w:tcPr>
          <w:p>
            <w:r>
              <w:rPr>
                <w:b w:val="false"/>
                <w:bCs w:val="false"/>
                <w:color w:val="000000"/>
                <w:sz w:val="19"/>
                <w:szCs w:val="19"/>
              </w:rPr>
              <w:t xml:space="preserve">$12.379.219</w:t>
            </w:r>
          </w:p>
        </w:tc>
        <w:tc>
          <w:tcPr>
            <w:tcW w:type="dxa" w:w="1000"/>
            <w:vAlign w:val="center"/>
          </w:tcPr>
          <w:p>
            <w:r>
              <w:rPr>
                <w:b w:val="false"/>
                <w:bCs w:val="false"/>
                <w:color w:val="000000"/>
                <w:sz w:val="19"/>
                <w:szCs w:val="19"/>
              </w:rPr>
              <w:t xml:space="preserve">39,6%</w:t>
            </w:r>
          </w:p>
        </w:tc>
      </w:tr>
      <w:t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$15.474.023</w:t>
            </w:r>
          </w:p>
        </w:tc>
        <w:tc>
          <w:tcPr>
            <w:tcW w:type="dxa" w:w="2500"/>
            <w:vAlign w:val="center"/>
          </w:tcPr>
          <w:p>
            <w:r>
              <w:rPr>
                <w:b w:val="false"/>
                <w:bCs w:val="false"/>
                <w:color w:val="000000"/>
                <w:sz w:val="19"/>
                <w:szCs w:val="19"/>
              </w:rPr>
              <w:t xml:space="preserve">$18.568.828</w:t>
            </w:r>
          </w:p>
        </w:tc>
        <w:tc>
          <w:tcPr>
            <w:tcW w:type="dxa" w:w="1000"/>
            <w:vAlign w:val="center"/>
          </w:tcPr>
          <w:p>
            <w:r>
              <w:rPr>
                <w:b w:val="false"/>
                <w:bCs w:val="false"/>
                <w:color w:val="000000"/>
                <w:sz w:val="19"/>
                <w:szCs w:val="19"/>
              </w:rPr>
              <w:t xml:space="preserve">60,4%</w:t>
            </w:r>
          </w:p>
        </w:tc>
      </w:tr>
      <w:t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$24.766.574</w:t>
            </w:r>
          </w:p>
        </w:tc>
        <w:tc>
          <w:tcPr>
            <w:tcW w:type="dxa" w:w="2500"/>
            <w:shd w:fill="D9E1F2" w:val="clear"/>
            <w:vAlign w:val="center"/>
          </w:tcPr>
          <w:p>
            <w:r>
              <w:rPr>
                <w:b/>
                <w:bCs/>
                <w:color w:val="000000"/>
                <w:sz w:val="19"/>
                <w:szCs w:val="19"/>
              </w:rPr>
              <w:t xml:space="preserve">$30.958.218</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(con una diferencia de $27 por redondeo) con el costo y el presupuesto final del paquete combinado de la Sección 1, es la misma estimación total, solo repartida en dos productos en vez de uno.</w:t>
      </w:r>
    </w:p>
    <w:p>
      <w:pPr>
        <w:pStyle w:val="Heading2"/>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($30.958.218).</w:t>
      </w:r>
    </w:p>
    <w:p>
      <w:pPr>
        <w:pStyle w:val="Heading1"/>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$6.191.644 sobre un presupuesto final de $30.958.218. La garantía del sistema entregado queda fijada entre 1 y 3 meses desde la aceptación, cubriendo soporte de software/firmware sin costo adicional durante ese período. Además del paquete combinado, el equipo tiene la opción de vender Hardware ($12.379.219) y Software ($18.568.828) por separado, ampliando el mercado posible sin cambiar el costo total del proyecto. Estas definiciones quedan listas para incorporarse a la Documentación de Proyecto (v4.0) y para presentarse en la 3ra presentación de mediados de septiembre.</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