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Caseros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del telar.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Si se quiere repetir una pasada, se dibuja la misma fila dos veces.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Seis,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 Este dato descartó el uso de MOSFET.</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Jornada de 10 horas, de lunes a sábado. Seis telares operativos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Armado y validado en banco. Falta instalarlo en la máquina.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Componentes comprados. Falta el punto de montaje y el soporte.</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Falta medir la salida del lector óptico y comprar los relés.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 xml:space="preserve">5.3. Lo que falta antes de conectarlo al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Lo que falta: </w:t>
      </w:r>
      <w:r>
        <w:rPr>
          <w:rFonts w:ascii="IBM Plex Sans" w:cs="IBM Plex Sans" w:eastAsia="IBM Plex Sans" w:hAnsi="IBM Plex Sans"/>
          <w:sz w:val="21"/>
          <w:szCs w:val="21"/>
        </w:rPr>
        <w:t xml:space="preserve">identificar el eje que completa exactamente un giro por pasada, fabricar el soporte y validar el conteo. El dueño se ofreció a colaborar con el punto de montaje. Para verificar la relación de giro se pone un pedazo de cinta en el eje y se cuentan las vueltas mientras la máquina hace cinco pasadas: si son cinco, es el eje correcto.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 xml:space="preserve">Relé PhotoMOS Panasonic AQY212GH, seis unidades, </w:t>
      </w:r>
      <w:r>
        <w:rPr>
          <w:rFonts w:ascii="IBM Plex Sans" w:cs="IBM Plex Sans" w:eastAsia="IBM Plex Sans" w:hAnsi="IBM Plex Sans"/>
          <w:sz w:val="21"/>
          <w:szCs w:val="21"/>
        </w:rPr>
        <w:t xml:space="preserve">una por lector óptico. Es un relé de estado sólido con salida de MOSFET, en encapsulado DIP de cuatro patas para inserción, que soporta 60 V y 1 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A 300 pasadas por minuto son 5 conmutaciones por segundo, unas 144.000 por turno de ocho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seis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PhotoMOS resuelve todo esto: </w:t>
      </w:r>
      <w:r>
        <w:rPr>
          <w:rFonts w:ascii="IBM Plex Sans" w:cs="IBM Plex Sans" w:eastAsia="IBM Plex Sans" w:hAnsi="IBM Plex Sans"/>
          <w:sz w:val="21"/>
          <w:szCs w:val="21"/>
        </w:rPr>
        <w:t xml:space="preserve">no necesita corriente mínima de mantenimiento, su fuga en apagado se mide en nanoamperes,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código del componente: </w:t>
      </w:r>
      <w:r>
        <w:rPr>
          <w:rFonts w:ascii="IBM Plex Sans" w:cs="IBM Plex Sans" w:eastAsia="IBM Plex Sans" w:hAnsi="IBM Plex Sans"/>
          <w:sz w:val="20"/>
          <w:szCs w:val="20"/>
        </w:rPr>
        <w:t xml:space="preserve">la letra final indica el encapsulado. La H corresponde al formato DIP de inserción, que es el que entra en la placa perforada; la S al de montaje superficial, que requiere adaptador. Hay que pedir específicamente el AQY212GH. El AQY212EH es una alternativa válida, con 550 mA y aislamiento reforzado de 5.000 V.</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cinco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produccion_historial</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registro_de_errores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documento principal, con 66 secciones, 14 tablas, 12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162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w:t>
      </w:r>
      <w:r>
        <w:rPr>
          <w:rFonts w:ascii="IBM Plex Sans" w:cs="IBM Plex Sans" w:eastAsia="IBM Plex Sans" w:hAnsi="IBM Plex Sans"/>
          <w:sz w:val="21"/>
          <w:szCs w:val="21"/>
        </w:rPr>
        <w:t xml:space="preserve">el sentido de la tensión en un botón, la tensión y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 xml:space="preserve">Instalar el Bloque A </w:t>
      </w:r>
      <w:r>
        <w:rPr>
          <w:rFonts w:ascii="IBM Plex Sans" w:cs="IBM Plex Sans" w:eastAsia="IBM Plex Sans" w:hAnsi="IBM Plex Sans"/>
          <w:sz w:val="21"/>
          <w:szCs w:val="21"/>
        </w:rPr>
        <w:t xml:space="preserve">en el telar, conectando un canal por vez.</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completo, </w:t>
      </w:r>
      <w:r>
        <w:rPr>
          <w:rFonts w:ascii="IBM Plex Sans" w:cs="IBM Plex Sans" w:eastAsia="IBM Plex Sans" w:hAnsi="IBM Plex Sans"/>
          <w:sz w:val="21"/>
          <w:szCs w:val="21"/>
        </w:rPr>
        <w:t xml:space="preserve">incluida la validación del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w:t>
      </w:r>
      <w:r>
        <w:rPr>
          <w:rFonts w:ascii="IBM Plex Sans" w:cs="IBM Plex Sans" w:eastAsia="IBM Plex Sans" w:hAnsi="IBM Plex Sans"/>
          <w:sz w:val="21"/>
          <w:szCs w:val="21"/>
        </w:rPr>
        <w:t xml:space="preserve">El historial de producción ya guarda lo necesario para mostrar cuántas veces se tejió cada dibujo, las pasadas acumuladas y el tiempo de máquina. Para convertir pasadas en metros falta medir cuánto avanza la tela por pasada.</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acceso remoto y multiusuario. </w:t>
      </w:r>
      <w:r>
        <w:rPr>
          <w:rFonts w:ascii="IBM Plex Sans" w:cs="IBM Plex Sans" w:eastAsia="IBM Plex Sans" w:hAnsi="IBM Plex Sans"/>
          <w:sz w:val="21"/>
          <w:szCs w:val="21"/>
        </w:rPr>
        <w:t xml:space="preserve">El propio dueño las calificó de secundarias.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seis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