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los botones de Marcha, Pausa y Retroceder mediante relés optoacoplados conectados en paralelo a la botonera física existente. La sincronización y el conteo de pasadas se ejecutan a través de un sensor inductivo/óptico montado sobre la estructura mecánica.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mediciones y verificaciones) para confirmar la señal de cada lector óptico antes de conectar los relés.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(tramos que alternan bobinas una por pasada, por ejemplo 1, 3, 4 y 2 durante 120 pasadas, en una sola fila),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secuencias_por_fila,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pasada; celda 1 = la bobina se activa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secuencias_por_fila    JSONB,            -- tramo intercalado: orden de bobinas (o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La excepción es un tramo intercalado: secuencias_por_fila guarda para esa fila el orden de sus bobinas, por ejemplo [1, 3, 4, 2], y en cada pasada se activa la que sigue en ese orden; la fila marca exactamente esas bobinas, y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(arma tramos que alternan bobinas una por pasada, como 1, 3, 4 y 2 durante 120 pasadas, en una sola fila),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un tramo intercalado alterna sus bobinas una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con el telar dibujado arriba, junto con las instrucciones de tejido;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los relés LCA110 del Nivel 2.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