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keepNext/>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 Pausa y Retroceder del telar por relé, en paralelo a los botones físicos existentes.</w:t>
      </w:r>
    </w:p>
    <w:p>
      <w:pPr>
        <w:pBdr>
          <w:top w:val="none"/>
          <w:left w:val="single" w:color="C00000" w:sz="24"/>
          <w:bottom w:val="none"/>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keepNext/>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µF 50 V, 3 resistencias de 2,2 kΩ 1 W, 6 resistencias de 10 kΩ ¼ W, 3 capacitores cerámicos de 100 nF, placa universal, borneras y cable multifilar.</w:t>
      </w:r>
    </w:p>
    <w:p>
      <w:pPr>
        <w:pStyle w:val="Heading1"/>
        <w:keepNext/>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en la entrada del bus de la plaqueta principal (junto a J1).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keepNext/>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cantSplit/>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rPr>
          <w:cantSplit/>
        </w:trP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rPr>
          <w:cantSplit/>
        </w:trP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rPr>
          <w:cantSplit/>
        </w:trP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keepNext/>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 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y en su propia plaqueta, unida a la principal por el conector J4 (3,3 V, GND y GPIO 32, 33 y 34): por canal, puente DB157, capacitor de 22 µF, resistencia de 2,2 kΩ 1 W y PC817, con la salida a GPIO 32, 33 y 34 y una resistencia de 10 kΩ de cada pin a 3,3 V (ver el diagrama del Bloque A).</w:t>
      </w:r>
    </w:p>
    <w:p>
      <w:pPr>
        <w:pStyle w:val="Heading1"/>
        <w:keepNext/>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 s) y seguir probando en banco, verificando que los pulsos de relé respondan a los cambios de estado enviados desde el backend/web.</w:t>
      </w:r>
    </w:p>
    <w:p>
      <w:pPr>
        <w:pStyle w:val="Heading1"/>
        <w:keepNext/>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keepNext/>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keepNext/>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