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El negativo debe compartirse con el GND del sistema.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Cable negro del sensor → resistencia limitadora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negativo de esa alimentación.</w:t>
      </w:r>
    </w:p>
    <w:p>
      <w:pPr>
        <w:pStyle w:val="ListParagraph"/>
        <w:numPr>
          <w:ilvl w:val="0"/>
          <w:numId w:val="2"/>
        </w:numPr>
        <w:spacing w:after="90"/>
      </w:pPr>
      <w:r>
        <w:rPr>
          <w:rFonts w:ascii="IBM Plex Sans" w:cs="IBM Plex Sans" w:eastAsia="IBM Plex Sans" w:hAnsi="IBM Plex Sans"/>
          <w:sz w:val="22"/>
          <w:szCs w:val="22"/>
        </w:rPr>
        <w:t xml:space="preserve">Pin 4 → GPIO libre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relé LCA110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3 y 4, la salida: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Las patas 4 y 6 van en el circuito del lector óptico; la 3 y la 5 quedan sin conectar.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cualquiera de los dos casos hay que cortar uno de los hilos del lector para intercalar el relé, o derivar de sus terminales.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3 y 4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dos.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