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$6.660.399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72,30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$3.936.193</w:t>
            </w:r>
            <w:r>
              <w:rPr>
                <w:rtl w:val="0"/>
              </w:rPr>
            </w:r>
          </w:p>
        </w:tc>
      </w:tr>
      <w:tr>
        <w:trPr>
          <w:cantSplit/>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$5.232.629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$31.844.539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Después de medir el lector (medido el 17/10/2026)</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$31.844.539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$32.076.353</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$8.019.088</w:t>
            </w:r>
            <w:r>
              <w:rPr>
                <w:rtl w:val="0"/>
              </w:rPr>
            </w:r>
          </w:p>
        </w:tc>
      </w:tr>
      <w:tr>
        <w:trPr>
          <w:cantSplit/>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$40.095.441</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$32.076.353 de costo total, el 99,3% ($31.844.539)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643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$38.200.000 (y el presupuesto final con margen a cerca de $48.100.000),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keepNext/>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Cable de control: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Gabinete o caja de protección:</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$32.076.353 (personal + componentes + gastos varios), se aplica un margen del 25%, lo que deja una ganancia proyectada de $8.019.088 sobre un presupuesto final de $40.095.441.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con la medición del lector óptico, hecha el 17/10/2026.</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trHeight w:val="360" w:hRule="atLeast"/>
          <w:tblHeader/>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keepNext/>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trHeight w:val="705" w:hRule="atLeast"/>
          <w:tblHeader/>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($40.095.441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keepNext/>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$32.076.353, compuesto casi en su totalidad (99,3%) por el valor del trabajo del equipo y solo marginalmente (0,7%, $231.814) por dinero que realmente hay que desembolsar en componentes y gastos operativos. Con el margen del 25% ya usado en la plantilla original, el presupuesto final asciende a $40.095.441, dejando una ganancia proyectada de $8.019.088.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