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sidDel="00000000" w:rsidR="00000000" w:rsidRPr="00000000">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inicial del Diseño UX/UI:</w:t>
            </w:r>
            <w:r w:rsidDel="00000000" w:rsidR="00000000" w:rsidRPr="00000000">
              <w:rPr>
                <w:rFonts w:ascii="IBM Plex Sans" w:cs="IBM Plex Sans" w:eastAsia="IBM Plex Sans" w:hAnsi="IBM Plex Sans"/>
                <w:rtl w:val="0"/>
              </w:rPr>
              <w:t xml:space="preserve"> Extraer conceptos, ideas y necesidades de planta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Validación de Mockup:</w:t>
            </w:r>
            <w:r w:rsidDel="00000000" w:rsidR="00000000" w:rsidRPr="00000000">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Entremedio hubieron otras comunicaciones con el Dueño y el Empleado para validar el proceso de la creación del FrontEnd/MockUp de la página. Hubieron alrededor de 2 a 3 encuentros virtuales en la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Pivote del proyecto:</w:t>
            </w:r>
            <w:r w:rsidDel="00000000" w:rsidR="00000000" w:rsidRPr="00000000">
              <w:rPr>
                <w:rFonts w:ascii="IBM Plex Sans" w:cs="IBM Plex Sans" w:eastAsia="IBM Plex Sans" w:hAnsi="IBM Plex Sans"/>
                <w:rtl w:val="0"/>
              </w:rPr>
              <w:t xml:space="preserve"> Se descarta el monitoreo ambiental. La interfaz se centrará un 100% en el </w:t>
            </w:r>
            <w:r w:rsidDel="00000000" w:rsidR="00000000" w:rsidRPr="00000000">
              <w:rPr>
                <w:rFonts w:ascii="IBM Plex Sans" w:cs="IBM Plex Sans" w:eastAsia="IBM Plex Sans" w:hAnsi="IBM Plex Sans"/>
                <w:b w:val="1"/>
                <w:bCs w:val="1"/>
                <w:rtl w:val="0"/>
              </w:rPr>
              <w:t xml:space="preserve">Editor Matricial de Patrones</w:t>
            </w:r>
            <w:r w:rsidDel="00000000" w:rsidR="00000000" w:rsidRPr="00000000">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 (UX/UI):</w:t>
            </w:r>
            <w:r w:rsidDel="00000000" w:rsidR="00000000" w:rsidRPr="00000000">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2F">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30">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Responsables (UX/UI y Front-End):</w:t>
            </w:r>
            <w:r w:rsidDel="00000000" w:rsidR="00000000" w:rsidRPr="00000000">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8">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(Botones Play, Stop, Rollback)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Usabilidad Industrial:</w:t>
            </w:r>
            <w:r w:rsidDel="00000000" w:rsidR="00000000" w:rsidRPr="00000000">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(Listado de la base de datos)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Agilidad:</w:t>
            </w:r>
            <w:r w:rsidDel="00000000" w:rsidR="00000000" w:rsidRPr="00000000">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Nuevo Alcance:</w:t>
            </w:r>
            <w:r w:rsidDel="00000000" w:rsidR="00000000" w:rsidRPr="00000000">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3: Costos y modelos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sidDel="00000000" w:rsidR="00000000" w:rsidRPr="00000000">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rtl w:val="0"/>
              </w:rPr>
              <w:br w:type="textWrapping"/>
            </w:r>
            <w:r w:rsidDel="00000000" w:rsidR="00000000" w:rsidRPr="00000000">
              <w:rPr>
                <w:rFonts w:ascii="IBM Plex Sans" w:cs="IBM Plex Sans" w:eastAsia="IBM Plex Sans" w:hAnsi="IBM Plex Sans"/>
                <w:b w:val="1"/>
                <w:bCs w:val="1"/>
                <w:rtl w:val="0"/>
              </w:rPr>
              <w:t xml:space="preserve"> 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Identificación del modelo real del telar mediante su placa de datos: Vamatex C201, matrícula 1104, revisado en 1989.</w:t>
              <w:br w:type="textWrapping"/>
              <w:t xml:space="preserve"> 2. Relevamiento fotográfico completo de la botonera: 5 pulsadores (Avviamento/Marcha, Stop/Pausa, Marcia Discontinua/Impulso, Avanti/Avanzar, Indietro/Retroceder).</w:t>
              <w:br w:type="textWrapping"/>
              <w:t xml:space="preserve"> 3. Medición de tensión en la botonera: confirmado 24V AC (no DC).</w:t>
              <w:br w:type="textWrapping"/>
              <w:t xml:space="preserve"> 4. Confirmación del máximo de matrices/marcos que el telar puede ejecutar en simultáneo: 8 (no 20, como sugerían avisos de venta de otras unidades).</w:t>
              <w:br w:type="textWrapping"/>
              <w:t xml:space="preserve"> 5. El dueño de la fábrica propuso usar electroválvulas para diferenciar entre dibujos y matrices.</w:t>
              <w:br w:type="textWrapping"/>
              <w:t xml:space="preserve"> 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 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eso es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Ir viendo el pasar todo a una plaqueta y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7: Conexión final y prueba del Nivel 2 (todavía no realizada)</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