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IBM Plex Sans" w:cs="IBM Plex Sans" w:eastAsia="IBM Plex Sans" w:hAnsi="IBM Plex Sans"/>
          <w:color w:val="16304F"/>
          <w:sz w:val="24"/>
          <w:szCs w:val="24"/>
        </w:rPr>
      </w:pPr>
      <w:r>
        <w:rPr>
          <w:rFonts w:ascii="IBM Plex Sans" w:cs="IBM Plex Sans" w:eastAsia="IBM Plex Sans" w:hAnsi="IBM Plex Sans"/>
          <w:b w:val="1"/>
          <w:bCs w:val="1"/>
          <w:color w:val="16304F"/>
          <w:sz w:val="42"/>
          <w:szCs w:val="42"/>
          <w:rtl w:val="0"/>
        </w:rPr>
        <w:t xml:space="preserve">ESTIMACIÓN DE COSTOS, GANANCIA Y ASPECTOS CONTRACTUALES</w:t>
      </w:r>
      <w:r>
        <w:rPr>
          <w:rtl w:val="0"/>
        </w:rPr>
      </w:r>
    </w:p>
    <w:p w:rsidR="00000000" w:rsidDel="00000000" w:rsidP="00000000" w:rsidRDefault="00000000" w:rsidRPr="00000000" w14:paraId="00000002">
      <w:pPr>
        <w:spacing w:after="100" w:lineRule="auto"/>
        <w:rPr>
          <w:rFonts w:ascii="IBM Plex Sans" w:cs="IBM Plex Sans" w:eastAsia="IBM Plex Sans" w:hAnsi="IBM Plex Sans"/>
          <w:color w:val="1E3A5F"/>
          <w:sz w:val="24"/>
          <w:szCs w:val="24"/>
        </w:rPr>
      </w:pPr>
      <w:r>
        <w:rPr>
          <w:rFonts w:ascii="IBM Plex Sans" w:cs="IBM Plex Sans" w:eastAsia="IBM Plex Sans" w:hAnsi="IBM Plex Sans"/>
          <w:color w:val="1E3A5F"/>
          <w:sz w:val="30"/>
          <w:szCs w:val="30"/>
          <w:rtl w:val="0"/>
        </w:rPr>
        <w:t xml:space="preserve">Proyecto: Automatización de Telar Industrial, Lectura y Control de Inserción de Trama</w:t>
      </w:r>
      <w:r>
        <w:rPr>
          <w:rtl w:val="0"/>
        </w:rPr>
      </w:r>
    </w:p>
    <w:p w:rsidR="00000000" w:rsidDel="00000000" w:rsidP="00000000" w:rsidRDefault="00000000" w:rsidRPr="00000000" w14:paraId="00000003">
      <w:pPr>
        <w:spacing w:after="400" w:lineRule="auto"/>
        <w:rPr>
          <w:rFonts w:ascii="IBM Plex Sans" w:cs="IBM Plex Sans" w:eastAsia="IBM Plex Sans" w:hAnsi="IBM Plex Sans"/>
          <w:i w:val="1"/>
          <w:iCs w:val="1"/>
          <w:color w:val="808080"/>
          <w:sz w:val="24"/>
          <w:szCs w:val="24"/>
        </w:rPr>
      </w:pPr>
      <w:r>
        <w:rPr>
          <w:rFonts w:ascii="IBM Plex Sans" w:cs="IBM Plex Sans" w:eastAsia="IBM Plex Sans" w:hAnsi="IBM Plex Sans"/>
          <w:i w:val="1"/>
          <w:iCs w:val="1"/>
          <w:color w:val="808080"/>
          <w:sz w:val="24"/>
          <w:szCs w:val="24"/>
          <w:rtl w:val="0"/>
        </w:rPr>
        <w:t xml:space="preserve">7mo año, Informática B</w:t>
      </w:r>
    </w:p>
    <w:p w:rsidR="00000000" w:rsidDel="00000000" w:rsidP="00000000" w:rsidRDefault="00000000" w:rsidRPr="00000000" w14:paraId="00000004">
      <w:pPr>
        <w:pStyle w:val="Heading1"/>
        <w:spacing w:after="200" w:before="400" w:lineRule="auto"/>
        <w:rPr>
          <w:rFonts w:ascii="Questrial" w:cs="Questrial" w:eastAsia="Questrial" w:hAnsi="Questrial"/>
          <w:color w:val="1E3A5F"/>
          <w:sz w:val="38"/>
          <w:szCs w:val="38"/>
        </w:rPr>
      </w:pPr>
      <w:r>
        <w:rPr>
          <w:rFonts w:ascii="Questrial" w:cs="Questrial" w:eastAsia="Questrial" w:hAnsi="Questrial"/>
          <w:color w:val="1E3A5F"/>
          <w:sz w:val="38"/>
          <w:szCs w:val="38"/>
          <w:rtl w:val="0"/>
        </w:rPr>
        <w:t xml:space="preserve">1. Introducción</w:t>
      </w:r>
    </w:p>
    <w:p w:rsidR="00000000" w:rsidDel="00000000" w:rsidP="00000000" w:rsidRDefault="00000000" w:rsidRPr="00000000" w14:paraId="00000005">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Este documento reúne la estimación económica del proyecto (costos de personal, componentes electrónicos y gastos operativos), la ganancia proyectada y la modalidad de inversión propuesta, y una síntesis de los aspectos contractuales y de garantía del proyecto.</w:t>
      </w:r>
    </w:p>
    <w:p w:rsidR="00000000" w:rsidDel="00000000" w:rsidP="00000000" w:rsidRDefault="00000000" w:rsidRPr="00000000" w14:paraId="00000006">
      <w:pPr>
        <w:pStyle w:val="Heading1"/>
        <w:spacing w:after="200" w:before="400" w:lineRule="auto"/>
        <w:rPr>
          <w:rFonts w:ascii="Questrial" w:cs="Questrial" w:eastAsia="Questrial" w:hAnsi="Questrial"/>
          <w:color w:val="1E3A5F"/>
          <w:sz w:val="38"/>
          <w:szCs w:val="38"/>
        </w:rPr>
      </w:pPr>
      <w:r>
        <w:rPr>
          <w:rtl w:val="0"/>
        </w:rPr>
      </w:r>
    </w:p>
    <w:p w:rsidR="00000000" w:rsidDel="00000000" w:rsidP="00000000" w:rsidRDefault="00000000" w:rsidRPr="00000000" w14:paraId="00000007">
      <w:pPr>
        <w:pStyle w:val="Heading1"/>
        <w:spacing w:after="200" w:before="400" w:lineRule="auto"/>
        <w:rPr>
          <w:rFonts w:ascii="Questrial" w:cs="Questrial" w:eastAsia="Questrial" w:hAnsi="Questrial"/>
          <w:color w:val="1E3A5F"/>
          <w:sz w:val="38"/>
          <w:szCs w:val="38"/>
        </w:rPr>
      </w:pPr>
      <w:r>
        <w:rPr>
          <w:rFonts w:ascii="Questrial" w:cs="Questrial" w:eastAsia="Questrial" w:hAnsi="Questrial"/>
          <w:color w:val="1E3A5F"/>
          <w:sz w:val="38"/>
          <w:szCs w:val="38"/>
          <w:rtl w:val="0"/>
        </w:rPr>
        <w:t xml:space="preserve">2. Fuentes de la estimación</w:t>
      </w:r>
    </w:p>
    <w:p w:rsidR="00000000" w:rsidDel="00000000" w:rsidP="00000000" w:rsidRDefault="00000000" w:rsidRPr="00000000" w14:paraId="00000008">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Los valores surgen de dos fuentes propias del proyecto: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BM Plex Sans" w:cs="IBM Plex Sans" w:eastAsia="IBM Plex Sans" w:hAnsi="IBM Plex Sans"/>
          <w:i w:val="0"/>
          <w:iCs w:val="0"/>
          <w:smallCaps w:val="0"/>
          <w:strike w:val="0"/>
          <w:color w:val="000000"/>
          <w:sz w:val="24"/>
          <w:szCs w:val="24"/>
          <w:shd w:fill="auto" w:val="clear"/>
          <w:vertAlign w:val="baseline"/>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Gantt del proyecto: horas estimadas por tarea y responsable asignado.</w:t>
      </w:r>
      <w:r>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IBM Plex Sans" w:cs="IBM Plex Sans" w:eastAsia="IBM Plex Sans" w:hAnsi="IBM Plex Sans"/>
          <w:i w:val="0"/>
          <w:iCs w:val="0"/>
          <w:smallCaps w:val="0"/>
          <w:strike w:val="0"/>
          <w:color w:val="000000"/>
          <w:sz w:val="24"/>
          <w:szCs w:val="24"/>
          <w:shd w:fill="auto" w:val="clear"/>
          <w:vertAlign w:val="baseline"/>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Lista de componentes (Control de Trama): precios, cantidades y bloques de compra de la parte electrónica.</w:t>
      </w:r>
      <w:r>
        <w:rPr>
          <w:rtl w:val="0"/>
        </w:rPr>
      </w:r>
    </w:p>
    <w:p w:rsidR="00000000" w:rsidDel="00000000" w:rsidP="00000000" w:rsidRDefault="00000000" w:rsidRPr="00000000" w14:paraId="0000000B">
      <w:pPr>
        <w:pStyle w:val="Heading1"/>
        <w:spacing w:after="200" w:before="400" w:lineRule="auto"/>
        <w:rPr>
          <w:rFonts w:ascii="Questrial" w:cs="Questrial" w:eastAsia="Questrial" w:hAnsi="Questrial"/>
          <w:color w:val="1E3A5F"/>
          <w:sz w:val="38"/>
          <w:szCs w:val="38"/>
        </w:rPr>
      </w:pPr>
      <w:r>
        <w:rPr>
          <w:rtl w:val="0"/>
        </w:rPr>
      </w:r>
    </w:p>
    <w:p w:rsidR="00000000" w:rsidDel="00000000" w:rsidP="00000000" w:rsidRDefault="00000000" w:rsidRPr="00000000" w14:paraId="0000000C">
      <w:pPr>
        <w:pStyle w:val="Heading1"/>
        <w:spacing w:after="200" w:before="400" w:lineRule="auto"/>
        <w:rPr>
          <w:rFonts w:ascii="Questrial" w:cs="Questrial" w:eastAsia="Questrial" w:hAnsi="Questrial"/>
          <w:color w:val="1E3A5F"/>
          <w:sz w:val="38"/>
          <w:szCs w:val="38"/>
        </w:rPr>
      </w:pPr>
      <w:r>
        <w:rPr>
          <w:rFonts w:ascii="Questrial" w:cs="Questrial" w:eastAsia="Questrial" w:hAnsi="Questrial"/>
          <w:color w:val="1E3A5F"/>
          <w:sz w:val="38"/>
          <w:szCs w:val="38"/>
          <w:rtl w:val="0"/>
        </w:rPr>
        <w:t xml:space="preserve">3. Estimación de costos</w:t>
      </w:r>
    </w:p>
    <w:p w:rsidR="00000000" w:rsidDel="00000000" w:rsidP="00000000" w:rsidRDefault="00000000" w:rsidRPr="00000000" w14:paraId="0000000D">
      <w:pPr>
        <w:pStyle w:val="Heading2"/>
        <w:spacing w:after="150" w:before="300" w:lineRule="auto"/>
        <w:rPr>
          <w:rFonts w:ascii="Questrial" w:cs="Questrial" w:eastAsia="Questrial" w:hAnsi="Questrial"/>
          <w:color w:val="1E3A5F"/>
          <w:sz w:val="30"/>
          <w:szCs w:val="30"/>
        </w:rPr>
      </w:pPr>
      <w:r>
        <w:rPr>
          <w:rFonts w:ascii="Questrial" w:cs="Questrial" w:eastAsia="Questrial" w:hAnsi="Questrial"/>
          <w:color w:val="1E3A5F"/>
          <w:sz w:val="30"/>
          <w:szCs w:val="30"/>
          <w:rtl w:val="0"/>
        </w:rPr>
        <w:t xml:space="preserve">3.1 Costos de personal</w:t>
      </w:r>
    </w:p>
    <w:p w:rsidR="00000000" w:rsidDel="00000000" w:rsidP="00000000" w:rsidRDefault="00000000" w:rsidRPr="00000000" w14:paraId="0000000E">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Las horas de cada integrante surgen de sumar el campo "Estimado" de todas las tareas del Gantt donde figura como responsable (repartiendo la hora en partes iguales cuando hay más de un responsable por tarea). La tarifa por hora es el valor de referencia junior (JR) de la planilla original, convertido a pesos con el tipo de cambio de referencia ($1.525 = 1 USD), más 5% de contingencia por persona.</w:t>
      </w:r>
    </w:p>
    <w:tbl>
      <w:tblPr>
        <w:tblStyle w:val="Table1"/>
        <w:tblW w:w="1488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4111"/>
        <w:gridCol w:w="1459"/>
        <w:gridCol w:w="1510"/>
        <w:gridCol w:w="1501"/>
        <w:gridCol w:w="1649"/>
        <w:gridCol w:w="1237"/>
        <w:gridCol w:w="2289"/>
        <w:tblGridChange w:id="0">
          <w:tblGrid>
            <w:gridCol w:w="1129"/>
            <w:gridCol w:w="4111"/>
            <w:gridCol w:w="1459"/>
            <w:gridCol w:w="1510"/>
            <w:gridCol w:w="1501"/>
            <w:gridCol w:w="1649"/>
            <w:gridCol w:w="1237"/>
            <w:gridCol w:w="2289"/>
          </w:tblGrid>
        </w:tblGridChange>
      </w:tblGrid>
      <w:tr>
        <w:trPr>
          <w:cantSplit w:val="0"/>
          <w:trHeight w:val="448" w:hRule="atLeast"/>
          <w:tblHeader w:val="1"/>
        </w:trPr>
        <w:tc>
          <w:tcPr>
            <w:shd w:fill="1E3A5F" w:val="clear"/>
            <w:tcMar>
              <w:top w:w="0.0" w:type="dxa"/>
              <w:bottom w:w="0.0" w:type="dxa"/>
            </w:tcMar>
            <w:vAlign w:val="center"/>
          </w:tcPr>
          <w:p w:rsidR="00000000" w:rsidDel="00000000" w:rsidP="00000000" w:rsidRDefault="00000000" w:rsidRPr="00000000" w14:paraId="0000000F">
            <w:pPr>
              <w:spacing w:after="120" w:before="120" w:line="276" w:lineRule="auto"/>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Rol</w:t>
            </w:r>
            <w:r>
              <w:rPr>
                <w:rtl w:val="0"/>
              </w:rPr>
            </w:r>
          </w:p>
        </w:tc>
        <w:tc>
          <w:tcPr>
            <w:shd w:fill="1E3A5F" w:val="clear"/>
            <w:tcMar>
              <w:top w:w="0.0" w:type="dxa"/>
              <w:bottom w:w="0.0" w:type="dxa"/>
            </w:tcMar>
            <w:vAlign w:val="center"/>
          </w:tcPr>
          <w:p w:rsidR="00000000" w:rsidDel="00000000" w:rsidP="00000000" w:rsidRDefault="00000000" w:rsidRPr="00000000" w14:paraId="00000010">
            <w:pPr>
              <w:spacing w:after="120" w:before="120" w:line="276" w:lineRule="auto"/>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Integrante</w:t>
            </w:r>
            <w:r>
              <w:rPr>
                <w:rtl w:val="0"/>
              </w:rPr>
            </w:r>
          </w:p>
        </w:tc>
        <w:tc>
          <w:tcPr>
            <w:shd w:fill="1E3A5F" w:val="clear"/>
            <w:tcMar>
              <w:top w:w="0.0" w:type="dxa"/>
              <w:bottom w:w="0.0" w:type="dxa"/>
            </w:tcMar>
            <w:vAlign w:val="center"/>
          </w:tcPr>
          <w:p w:rsidR="00000000" w:rsidDel="00000000" w:rsidP="00000000" w:rsidRDefault="00000000" w:rsidRPr="00000000" w14:paraId="00000011">
            <w:pPr>
              <w:spacing w:after="120" w:before="120" w:line="276" w:lineRule="auto"/>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Hs. estimadas</w:t>
            </w:r>
            <w:r>
              <w:rPr>
                <w:rtl w:val="0"/>
              </w:rPr>
            </w:r>
          </w:p>
        </w:tc>
        <w:tc>
          <w:tcPr>
            <w:shd w:fill="1E3A5F" w:val="clear"/>
            <w:tcMar>
              <w:top w:w="0.0" w:type="dxa"/>
              <w:bottom w:w="0.0" w:type="dxa"/>
            </w:tcMar>
            <w:vAlign w:val="center"/>
          </w:tcPr>
          <w:p w:rsidR="00000000" w:rsidDel="00000000" w:rsidP="00000000" w:rsidRDefault="00000000" w:rsidRPr="00000000" w14:paraId="00000012">
            <w:pPr>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Tarifa/hr (USD)</w:t>
            </w:r>
            <w:r>
              <w:rPr>
                <w:rtl w:val="0"/>
              </w:rPr>
            </w:r>
          </w:p>
        </w:tc>
        <w:tc>
          <w:tcPr>
            <w:shd w:fill="1E3A5F" w:val="clear"/>
            <w:tcMar>
              <w:top w:w="0.0" w:type="dxa"/>
              <w:bottom w:w="0.0" w:type="dxa"/>
            </w:tcMar>
            <w:vAlign w:val="center"/>
          </w:tcPr>
          <w:p w:rsidR="00000000" w:rsidDel="00000000" w:rsidP="00000000" w:rsidRDefault="00000000" w:rsidRPr="00000000" w14:paraId="00000013">
            <w:pPr>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T. cambio</w:t>
            </w:r>
            <w:r>
              <w:rPr>
                <w:rtl w:val="0"/>
              </w:rPr>
            </w:r>
          </w:p>
        </w:tc>
        <w:tc>
          <w:tcPr>
            <w:shd w:fill="1E3A5F" w:val="clear"/>
            <w:tcMar>
              <w:top w:w="0.0" w:type="dxa"/>
              <w:bottom w:w="0.0" w:type="dxa"/>
            </w:tcMar>
            <w:vAlign w:val="center"/>
          </w:tcPr>
          <w:p w:rsidR="00000000" w:rsidDel="00000000" w:rsidP="00000000" w:rsidRDefault="00000000" w:rsidRPr="00000000" w14:paraId="00000014">
            <w:pPr>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Tarifa/hr (ARS)</w:t>
            </w:r>
            <w:r>
              <w:rPr>
                <w:rtl w:val="0"/>
              </w:rPr>
            </w:r>
          </w:p>
        </w:tc>
        <w:tc>
          <w:tcPr>
            <w:shd w:fill="1E3A5F" w:val="clear"/>
            <w:tcMar>
              <w:top w:w="0.0" w:type="dxa"/>
              <w:bottom w:w="0.0" w:type="dxa"/>
            </w:tcMar>
            <w:vAlign w:val="center"/>
          </w:tcPr>
          <w:p w:rsidR="00000000" w:rsidDel="00000000" w:rsidP="00000000" w:rsidRDefault="00000000" w:rsidRPr="00000000" w14:paraId="00000015">
            <w:pPr>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Continge.</w:t>
            </w:r>
            <w:r>
              <w:rPr>
                <w:rtl w:val="0"/>
              </w:rPr>
            </w:r>
          </w:p>
        </w:tc>
        <w:tc>
          <w:tcPr>
            <w:shd w:fill="1E3A5F" w:val="clear"/>
            <w:tcMar>
              <w:top w:w="0.0" w:type="dxa"/>
              <w:bottom w:w="0.0" w:type="dxa"/>
            </w:tcMar>
            <w:vAlign w:val="center"/>
          </w:tcPr>
          <w:p w:rsidR="00000000" w:rsidDel="00000000" w:rsidP="00000000" w:rsidRDefault="00000000" w:rsidRPr="00000000" w14:paraId="00000016">
            <w:pPr>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Subtotal (ARS)</w:t>
            </w:r>
            <w:r>
              <w:rPr>
                <w:rtl w:val="0"/>
              </w:rPr>
            </w:r>
          </w:p>
        </w:tc>
      </w:tr>
      <w:tr>
        <w:trPr>
          <w:cantSplit w:val="0"/>
          <w:trHeight w:val="214" w:hRule="atLeast"/>
          <w:tblHeader w:val="0"/>
        </w:trPr>
        <w:tc>
          <w:tcPr>
            <w:tcMar>
              <w:top w:w="0.0" w:type="dxa"/>
              <w:bottom w:w="0.0" w:type="dxa"/>
            </w:tcMar>
            <w:vAlign w:val="center"/>
          </w:tcPr>
          <w:p w:rsidR="00000000" w:rsidDel="00000000" w:rsidP="00000000" w:rsidRDefault="00000000" w:rsidRPr="00000000" w14:paraId="00000017">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PM</w:t>
            </w:r>
            <w:r>
              <w:rPr>
                <w:rtl w:val="0"/>
              </w:rPr>
            </w:r>
          </w:p>
        </w:tc>
        <w:tc>
          <w:tcPr>
            <w:tcMar>
              <w:top w:w="0.0" w:type="dxa"/>
              <w:bottom w:w="0.0" w:type="dxa"/>
            </w:tcMar>
            <w:vAlign w:val="center"/>
          </w:tcPr>
          <w:p w:rsidR="00000000" w:rsidDel="00000000" w:rsidP="00000000" w:rsidRDefault="00000000" w:rsidRPr="00000000" w14:paraId="00000018">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Manfredo Juan Ignacio (Project Manager)</w:t>
            </w:r>
            <w:r>
              <w:rPr>
                <w:rtl w:val="0"/>
              </w:rPr>
            </w:r>
          </w:p>
        </w:tc>
        <w:tc>
          <w:tcPr>
            <w:tcMar>
              <w:top w:w="0.0" w:type="dxa"/>
              <w:bottom w:w="0.0" w:type="dxa"/>
            </w:tcMar>
            <w:vAlign w:val="center"/>
          </w:tcPr>
          <w:p w:rsidR="00000000" w:rsidDel="00000000" w:rsidP="00000000" w:rsidRDefault="00000000" w:rsidRPr="00000000" w14:paraId="00000019">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134,75</w:t>
            </w:r>
            <w:r>
              <w:rPr>
                <w:rtl w:val="0"/>
              </w:rPr>
            </w:r>
          </w:p>
        </w:tc>
        <w:tc>
          <w:tcPr>
            <w:tcMar>
              <w:top w:w="0.0" w:type="dxa"/>
              <w:bottom w:w="0.0" w:type="dxa"/>
            </w:tcMar>
            <w:vAlign w:val="center"/>
          </w:tcPr>
          <w:p w:rsidR="00000000" w:rsidDel="00000000" w:rsidP="00000000" w:rsidRDefault="00000000" w:rsidRPr="00000000" w14:paraId="0000001A">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30</w:t>
            </w:r>
            <w:r>
              <w:rPr>
                <w:rtl w:val="0"/>
              </w:rPr>
            </w:r>
          </w:p>
        </w:tc>
        <w:tc>
          <w:tcPr>
            <w:tcMar>
              <w:top w:w="0.0" w:type="dxa"/>
              <w:bottom w:w="0.0" w:type="dxa"/>
            </w:tcMar>
            <w:vAlign w:val="center"/>
          </w:tcPr>
          <w:p w:rsidR="00000000" w:rsidDel="00000000" w:rsidP="00000000" w:rsidRDefault="00000000" w:rsidRPr="00000000" w14:paraId="0000001B">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1.525</w:t>
            </w:r>
            <w:r>
              <w:rPr>
                <w:rtl w:val="0"/>
              </w:rPr>
            </w:r>
          </w:p>
        </w:tc>
        <w:tc>
          <w:tcPr>
            <w:tcMar>
              <w:top w:w="0.0" w:type="dxa"/>
              <w:bottom w:w="0.0" w:type="dxa"/>
            </w:tcMar>
            <w:vAlign w:val="center"/>
          </w:tcPr>
          <w:p w:rsidR="00000000" w:rsidDel="00000000" w:rsidP="00000000" w:rsidRDefault="00000000" w:rsidRPr="00000000" w14:paraId="0000001C">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45.750</w:t>
            </w:r>
            <w:r>
              <w:rPr>
                <w:rtl w:val="0"/>
              </w:rPr>
            </w:r>
          </w:p>
        </w:tc>
        <w:tc>
          <w:tcPr>
            <w:tcMar>
              <w:top w:w="0.0" w:type="dxa"/>
              <w:bottom w:w="0.0" w:type="dxa"/>
            </w:tcMar>
            <w:vAlign w:val="center"/>
          </w:tcPr>
          <w:p w:rsidR="00000000" w:rsidDel="00000000" w:rsidP="00000000" w:rsidRDefault="00000000" w:rsidRPr="00000000" w14:paraId="0000001D">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5%</w:t>
            </w:r>
            <w:r>
              <w:rPr>
                <w:rtl w:val="0"/>
              </w:rPr>
            </w:r>
          </w:p>
        </w:tc>
        <w:tc>
          <w:tcPr>
            <w:tcMar>
              <w:top w:w="0.0" w:type="dxa"/>
              <w:bottom w:w="0.0" w:type="dxa"/>
            </w:tcMar>
            <w:vAlign w:val="center"/>
          </w:tcPr>
          <w:p w:rsidR="00000000" w:rsidDel="00000000" w:rsidP="00000000" w:rsidRDefault="00000000" w:rsidRPr="00000000" w14:paraId="0000001E">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$6.473.053</w:t>
            </w:r>
            <w:r>
              <w:rPr>
                <w:rtl w:val="0"/>
              </w:rPr>
            </w:r>
          </w:p>
        </w:tc>
      </w:tr>
      <w:tr>
        <w:trPr>
          <w:cantSplit w:val="0"/>
          <w:trHeight w:val="214" w:hRule="atLeast"/>
          <w:tblHeader w:val="0"/>
        </w:trPr>
        <w:tc>
          <w:tcPr>
            <w:tcMar>
              <w:top w:w="0.0" w:type="dxa"/>
              <w:bottom w:w="0.0" w:type="dxa"/>
            </w:tcMar>
            <w:vAlign w:val="center"/>
          </w:tcPr>
          <w:p w:rsidR="00000000" w:rsidDel="00000000" w:rsidP="00000000" w:rsidRDefault="00000000" w:rsidRPr="00000000" w14:paraId="0000001F">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D01</w:t>
            </w:r>
            <w:r>
              <w:rPr>
                <w:rtl w:val="0"/>
              </w:rPr>
            </w:r>
          </w:p>
        </w:tc>
        <w:tc>
          <w:tcPr>
            <w:tcMar>
              <w:top w:w="0.0" w:type="dxa"/>
              <w:bottom w:w="0.0" w:type="dxa"/>
            </w:tcMar>
            <w:vAlign w:val="center"/>
          </w:tcPr>
          <w:p w:rsidR="00000000" w:rsidDel="00000000" w:rsidP="00000000" w:rsidRDefault="00000000" w:rsidRPr="00000000" w14:paraId="00000020">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Desarrollador 01 - Back End</w:t>
            </w:r>
            <w:r>
              <w:rPr>
                <w:rtl w:val="0"/>
              </w:rPr>
            </w:r>
          </w:p>
        </w:tc>
        <w:tc>
          <w:tcPr>
            <w:tcMar>
              <w:top w:w="0.0" w:type="dxa"/>
              <w:bottom w:w="0.0" w:type="dxa"/>
            </w:tcMar>
            <w:vAlign w:val="center"/>
          </w:tcPr>
          <w:p w:rsidR="00000000" w:rsidDel="00000000" w:rsidP="00000000" w:rsidRDefault="00000000" w:rsidRPr="00000000" w14:paraId="00000021">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49,90</w:t>
            </w:r>
            <w:r>
              <w:rPr>
                <w:rtl w:val="0"/>
              </w:rPr>
            </w:r>
          </w:p>
        </w:tc>
        <w:tc>
          <w:tcPr>
            <w:tcMar>
              <w:top w:w="0.0" w:type="dxa"/>
              <w:bottom w:w="0.0" w:type="dxa"/>
            </w:tcMar>
            <w:vAlign w:val="center"/>
          </w:tcPr>
          <w:p w:rsidR="00000000" w:rsidDel="00000000" w:rsidP="00000000" w:rsidRDefault="00000000" w:rsidRPr="00000000" w14:paraId="00000022">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34</w:t>
            </w:r>
            <w:r>
              <w:rPr>
                <w:rtl w:val="0"/>
              </w:rPr>
            </w:r>
          </w:p>
        </w:tc>
        <w:tc>
          <w:tcPr>
            <w:tcMar>
              <w:top w:w="0.0" w:type="dxa"/>
              <w:bottom w:w="0.0" w:type="dxa"/>
            </w:tcMar>
            <w:vAlign w:val="center"/>
          </w:tcPr>
          <w:p w:rsidR="00000000" w:rsidDel="00000000" w:rsidP="00000000" w:rsidRDefault="00000000" w:rsidRPr="00000000" w14:paraId="00000023">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1.525</w:t>
            </w:r>
            <w:r>
              <w:rPr>
                <w:rtl w:val="0"/>
              </w:rPr>
            </w:r>
          </w:p>
        </w:tc>
        <w:tc>
          <w:tcPr>
            <w:tcMar>
              <w:top w:w="0.0" w:type="dxa"/>
              <w:bottom w:w="0.0" w:type="dxa"/>
            </w:tcMar>
            <w:vAlign w:val="center"/>
          </w:tcPr>
          <w:p w:rsidR="00000000" w:rsidDel="00000000" w:rsidP="00000000" w:rsidRDefault="00000000" w:rsidRPr="00000000" w14:paraId="00000024">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51.850</w:t>
            </w:r>
            <w:r>
              <w:rPr>
                <w:rtl w:val="0"/>
              </w:rPr>
            </w:r>
          </w:p>
        </w:tc>
        <w:tc>
          <w:tcPr>
            <w:tcMar>
              <w:top w:w="0.0" w:type="dxa"/>
              <w:bottom w:w="0.0" w:type="dxa"/>
            </w:tcMar>
            <w:vAlign w:val="center"/>
          </w:tcPr>
          <w:p w:rsidR="00000000" w:rsidDel="00000000" w:rsidP="00000000" w:rsidRDefault="00000000" w:rsidRPr="00000000" w14:paraId="00000025">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5%</w:t>
            </w:r>
            <w:r>
              <w:rPr>
                <w:rtl w:val="0"/>
              </w:rPr>
            </w:r>
          </w:p>
        </w:tc>
        <w:tc>
          <w:tcPr>
            <w:tcMar>
              <w:top w:w="0.0" w:type="dxa"/>
              <w:bottom w:w="0.0" w:type="dxa"/>
            </w:tcMar>
            <w:vAlign w:val="center"/>
          </w:tcPr>
          <w:p w:rsidR="00000000" w:rsidDel="00000000" w:rsidP="00000000" w:rsidRDefault="00000000" w:rsidRPr="00000000" w14:paraId="00000026">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$2.716.681</w:t>
            </w:r>
            <w:r>
              <w:rPr>
                <w:rtl w:val="0"/>
              </w:rPr>
            </w:r>
          </w:p>
        </w:tc>
      </w:tr>
      <w:tr>
        <w:trPr>
          <w:cantSplit w:val="0"/>
          <w:trHeight w:val="70" w:hRule="atLeast"/>
          <w:tblHeader w:val="0"/>
        </w:trPr>
        <w:tc>
          <w:tcPr>
            <w:tcMar>
              <w:top w:w="0.0" w:type="dxa"/>
              <w:bottom w:w="0.0" w:type="dxa"/>
            </w:tcMar>
            <w:vAlign w:val="center"/>
          </w:tcPr>
          <w:p w:rsidR="00000000" w:rsidDel="00000000" w:rsidP="00000000" w:rsidRDefault="00000000" w:rsidRPr="00000000" w14:paraId="00000027">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D02</w:t>
            </w:r>
            <w:r>
              <w:rPr>
                <w:rtl w:val="0"/>
              </w:rPr>
            </w:r>
          </w:p>
        </w:tc>
        <w:tc>
          <w:tcPr>
            <w:tcMar>
              <w:top w:w="0.0" w:type="dxa"/>
              <w:bottom w:w="0.0" w:type="dxa"/>
            </w:tcMar>
            <w:vAlign w:val="center"/>
          </w:tcPr>
          <w:p w:rsidR="00000000" w:rsidDel="00000000" w:rsidP="00000000" w:rsidRDefault="00000000" w:rsidRPr="00000000" w14:paraId="00000028">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Iannone Mia (Desarrollador 02 - Front End)</w:t>
            </w:r>
            <w:r>
              <w:rPr>
                <w:rtl w:val="0"/>
              </w:rPr>
            </w:r>
          </w:p>
        </w:tc>
        <w:tc>
          <w:tcPr>
            <w:tcMar>
              <w:top w:w="0.0" w:type="dxa"/>
              <w:bottom w:w="0.0" w:type="dxa"/>
            </w:tcMar>
            <w:vAlign w:val="center"/>
          </w:tcPr>
          <w:p w:rsidR="00000000" w:rsidDel="00000000" w:rsidP="00000000" w:rsidRDefault="00000000" w:rsidRPr="00000000" w14:paraId="00000029">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63,40</w:t>
            </w:r>
            <w:r>
              <w:rPr>
                <w:rtl w:val="0"/>
              </w:rPr>
            </w:r>
          </w:p>
        </w:tc>
        <w:tc>
          <w:tcPr>
            <w:tcMar>
              <w:top w:w="0.0" w:type="dxa"/>
              <w:bottom w:w="0.0" w:type="dxa"/>
            </w:tcMar>
            <w:vAlign w:val="center"/>
          </w:tcPr>
          <w:p w:rsidR="00000000" w:rsidDel="00000000" w:rsidP="00000000" w:rsidRDefault="00000000" w:rsidRPr="00000000" w14:paraId="0000002A">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34</w:t>
            </w:r>
            <w:r>
              <w:rPr>
                <w:rtl w:val="0"/>
              </w:rPr>
            </w:r>
          </w:p>
        </w:tc>
        <w:tc>
          <w:tcPr>
            <w:tcMar>
              <w:top w:w="0.0" w:type="dxa"/>
              <w:bottom w:w="0.0" w:type="dxa"/>
            </w:tcMar>
            <w:vAlign w:val="center"/>
          </w:tcPr>
          <w:p w:rsidR="00000000" w:rsidDel="00000000" w:rsidP="00000000" w:rsidRDefault="00000000" w:rsidRPr="00000000" w14:paraId="0000002B">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1.525</w:t>
            </w:r>
            <w:r>
              <w:rPr>
                <w:rtl w:val="0"/>
              </w:rPr>
            </w:r>
          </w:p>
        </w:tc>
        <w:tc>
          <w:tcPr>
            <w:tcMar>
              <w:top w:w="0.0" w:type="dxa"/>
              <w:bottom w:w="0.0" w:type="dxa"/>
            </w:tcMar>
            <w:vAlign w:val="center"/>
          </w:tcPr>
          <w:p w:rsidR="00000000" w:rsidDel="00000000" w:rsidP="00000000" w:rsidRDefault="00000000" w:rsidRPr="00000000" w14:paraId="0000002C">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51.850</w:t>
            </w:r>
            <w:r>
              <w:rPr>
                <w:rtl w:val="0"/>
              </w:rPr>
            </w:r>
          </w:p>
        </w:tc>
        <w:tc>
          <w:tcPr>
            <w:tcMar>
              <w:top w:w="0.0" w:type="dxa"/>
              <w:bottom w:w="0.0" w:type="dxa"/>
            </w:tcMar>
            <w:vAlign w:val="center"/>
          </w:tcPr>
          <w:p w:rsidR="00000000" w:rsidDel="00000000" w:rsidP="00000000" w:rsidRDefault="00000000" w:rsidRPr="00000000" w14:paraId="0000002D">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5%</w:t>
            </w:r>
            <w:r>
              <w:rPr>
                <w:rtl w:val="0"/>
              </w:rPr>
            </w:r>
          </w:p>
        </w:tc>
        <w:tc>
          <w:tcPr>
            <w:tcMar>
              <w:top w:w="0.0" w:type="dxa"/>
              <w:bottom w:w="0.0" w:type="dxa"/>
            </w:tcMar>
            <w:vAlign w:val="center"/>
          </w:tcPr>
          <w:p w:rsidR="00000000" w:rsidDel="00000000" w:rsidP="00000000" w:rsidRDefault="00000000" w:rsidRPr="00000000" w14:paraId="0000002E">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$3.451.655</w:t>
            </w:r>
            <w:r>
              <w:rPr>
                <w:rtl w:val="0"/>
              </w:rPr>
            </w:r>
          </w:p>
        </w:tc>
      </w:tr>
      <w:tr>
        <w:trPr>
          <w:cantSplit w:val="0"/>
          <w:trHeight w:val="429" w:hRule="atLeast"/>
          <w:tblHeader w:val="0"/>
        </w:trPr>
        <w:tc>
          <w:tcPr>
            <w:tcMar>
              <w:top w:w="0.0" w:type="dxa"/>
              <w:bottom w:w="0.0" w:type="dxa"/>
            </w:tcMar>
            <w:vAlign w:val="center"/>
          </w:tcPr>
          <w:p w:rsidR="00000000" w:rsidDel="00000000" w:rsidP="00000000" w:rsidRDefault="00000000" w:rsidRPr="00000000" w14:paraId="0000002F">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IM01</w:t>
            </w:r>
            <w:r>
              <w:rPr>
                <w:rtl w:val="0"/>
              </w:rPr>
            </w:r>
          </w:p>
        </w:tc>
        <w:tc>
          <w:tcPr>
            <w:tcMar>
              <w:top w:w="0.0" w:type="dxa"/>
              <w:bottom w:w="0.0" w:type="dxa"/>
            </w:tcMar>
            <w:vAlign w:val="center"/>
          </w:tcPr>
          <w:p w:rsidR="00000000" w:rsidDel="00000000" w:rsidP="00000000" w:rsidRDefault="00000000" w:rsidRPr="00000000" w14:paraId="00000030">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Lede Buschiazzo Lautaro (Infra. de MCU 01)</w:t>
            </w:r>
            <w:r>
              <w:rPr>
                <w:rtl w:val="0"/>
              </w:rPr>
            </w:r>
          </w:p>
        </w:tc>
        <w:tc>
          <w:tcPr>
            <w:tcMar>
              <w:top w:w="0.0" w:type="dxa"/>
              <w:bottom w:w="0.0" w:type="dxa"/>
            </w:tcMar>
            <w:vAlign w:val="center"/>
          </w:tcPr>
          <w:p w:rsidR="00000000" w:rsidDel="00000000" w:rsidP="00000000" w:rsidRDefault="00000000" w:rsidRPr="00000000" w14:paraId="00000031">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91,47</w:t>
            </w:r>
            <w:r>
              <w:rPr>
                <w:rtl w:val="0"/>
              </w:rPr>
            </w:r>
          </w:p>
        </w:tc>
        <w:tc>
          <w:tcPr>
            <w:tcMar>
              <w:top w:w="0.0" w:type="dxa"/>
              <w:bottom w:w="0.0" w:type="dxa"/>
            </w:tcMar>
            <w:vAlign w:val="center"/>
          </w:tcPr>
          <w:p w:rsidR="00000000" w:rsidDel="00000000" w:rsidP="00000000" w:rsidRDefault="00000000" w:rsidRPr="00000000" w14:paraId="00000032">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32</w:t>
            </w:r>
            <w:r>
              <w:rPr>
                <w:rtl w:val="0"/>
              </w:rPr>
            </w:r>
          </w:p>
        </w:tc>
        <w:tc>
          <w:tcPr>
            <w:tcMar>
              <w:top w:w="0.0" w:type="dxa"/>
              <w:bottom w:w="0.0" w:type="dxa"/>
            </w:tcMar>
            <w:vAlign w:val="center"/>
          </w:tcPr>
          <w:p w:rsidR="00000000" w:rsidDel="00000000" w:rsidP="00000000" w:rsidRDefault="00000000" w:rsidRPr="00000000" w14:paraId="00000033">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1.525</w:t>
            </w:r>
            <w:r>
              <w:rPr>
                <w:rtl w:val="0"/>
              </w:rPr>
            </w:r>
          </w:p>
        </w:tc>
        <w:tc>
          <w:tcPr>
            <w:tcMar>
              <w:top w:w="0.0" w:type="dxa"/>
              <w:bottom w:w="0.0" w:type="dxa"/>
            </w:tcMar>
            <w:vAlign w:val="center"/>
          </w:tcPr>
          <w:p w:rsidR="00000000" w:rsidDel="00000000" w:rsidP="00000000" w:rsidRDefault="00000000" w:rsidRPr="00000000" w14:paraId="00000034">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48.800</w:t>
            </w:r>
            <w:r>
              <w:rPr>
                <w:rtl w:val="0"/>
              </w:rPr>
            </w:r>
          </w:p>
        </w:tc>
        <w:tc>
          <w:tcPr>
            <w:tcMar>
              <w:top w:w="0.0" w:type="dxa"/>
              <w:bottom w:w="0.0" w:type="dxa"/>
            </w:tcMar>
            <w:vAlign w:val="center"/>
          </w:tcPr>
          <w:p w:rsidR="00000000" w:rsidDel="00000000" w:rsidP="00000000" w:rsidRDefault="00000000" w:rsidRPr="00000000" w14:paraId="00000035">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5%</w:t>
            </w:r>
            <w:r>
              <w:rPr>
                <w:rtl w:val="0"/>
              </w:rPr>
            </w:r>
          </w:p>
        </w:tc>
        <w:tc>
          <w:tcPr>
            <w:tcMar>
              <w:top w:w="0.0" w:type="dxa"/>
              <w:bottom w:w="0.0" w:type="dxa"/>
            </w:tcMar>
            <w:vAlign w:val="center"/>
          </w:tcPr>
          <w:p w:rsidR="00000000" w:rsidDel="00000000" w:rsidP="00000000" w:rsidRDefault="00000000" w:rsidRPr="00000000" w14:paraId="00000036">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$4.686.923</w:t>
            </w:r>
            <w:r>
              <w:rPr>
                <w:rtl w:val="0"/>
              </w:rPr>
            </w:r>
          </w:p>
        </w:tc>
      </w:tr>
      <w:tr>
        <w:trPr>
          <w:cantSplit w:val="0"/>
          <w:trHeight w:val="214" w:hRule="atLeast"/>
          <w:tblHeader w:val="0"/>
        </w:trPr>
        <w:tc>
          <w:tcPr>
            <w:tcMar>
              <w:top w:w="0.0" w:type="dxa"/>
              <w:bottom w:w="0.0" w:type="dxa"/>
            </w:tcMar>
            <w:vAlign w:val="center"/>
          </w:tcPr>
          <w:p w:rsidR="00000000" w:rsidDel="00000000" w:rsidP="00000000" w:rsidRDefault="00000000" w:rsidRPr="00000000" w14:paraId="00000037">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IM02</w:t>
            </w:r>
            <w:r>
              <w:rPr>
                <w:rtl w:val="0"/>
              </w:rPr>
            </w:r>
          </w:p>
        </w:tc>
        <w:tc>
          <w:tcPr>
            <w:tcMar>
              <w:top w:w="0.0" w:type="dxa"/>
              <w:bottom w:w="0.0" w:type="dxa"/>
            </w:tcMar>
            <w:vAlign w:val="center"/>
          </w:tcPr>
          <w:p w:rsidR="00000000" w:rsidDel="00000000" w:rsidP="00000000" w:rsidRDefault="00000000" w:rsidRPr="00000000" w14:paraId="00000038">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Ferrando Jaco (Infra. de MCU 02)</w:t>
            </w:r>
            <w:r>
              <w:rPr>
                <w:rtl w:val="0"/>
              </w:rPr>
            </w:r>
          </w:p>
        </w:tc>
        <w:tc>
          <w:tcPr>
            <w:tcMar>
              <w:top w:w="0.0" w:type="dxa"/>
              <w:bottom w:w="0.0" w:type="dxa"/>
            </w:tcMar>
            <w:vAlign w:val="center"/>
          </w:tcPr>
          <w:p w:rsidR="00000000" w:rsidDel="00000000" w:rsidP="00000000" w:rsidRDefault="00000000" w:rsidRPr="00000000" w14:paraId="00000039">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48,55</w:t>
            </w:r>
            <w:r>
              <w:rPr>
                <w:rtl w:val="0"/>
              </w:rPr>
            </w:r>
          </w:p>
        </w:tc>
        <w:tc>
          <w:tcPr>
            <w:tcMar>
              <w:top w:w="0.0" w:type="dxa"/>
              <w:bottom w:w="0.0" w:type="dxa"/>
            </w:tcMar>
            <w:vAlign w:val="center"/>
          </w:tcPr>
          <w:p w:rsidR="00000000" w:rsidDel="00000000" w:rsidP="00000000" w:rsidRDefault="00000000" w:rsidRPr="00000000" w14:paraId="0000003A">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32</w:t>
            </w:r>
            <w:r>
              <w:rPr>
                <w:rtl w:val="0"/>
              </w:rPr>
            </w:r>
          </w:p>
        </w:tc>
        <w:tc>
          <w:tcPr>
            <w:tcMar>
              <w:top w:w="0.0" w:type="dxa"/>
              <w:bottom w:w="0.0" w:type="dxa"/>
            </w:tcMar>
            <w:vAlign w:val="center"/>
          </w:tcPr>
          <w:p w:rsidR="00000000" w:rsidDel="00000000" w:rsidP="00000000" w:rsidRDefault="00000000" w:rsidRPr="00000000" w14:paraId="0000003B">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1.525</w:t>
            </w:r>
            <w:r>
              <w:rPr>
                <w:rtl w:val="0"/>
              </w:rPr>
            </w:r>
          </w:p>
        </w:tc>
        <w:tc>
          <w:tcPr>
            <w:tcMar>
              <w:top w:w="0.0" w:type="dxa"/>
              <w:bottom w:w="0.0" w:type="dxa"/>
            </w:tcMar>
            <w:vAlign w:val="center"/>
          </w:tcPr>
          <w:p w:rsidR="00000000" w:rsidDel="00000000" w:rsidP="00000000" w:rsidRDefault="00000000" w:rsidRPr="00000000" w14:paraId="0000003C">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48.800</w:t>
            </w:r>
            <w:r>
              <w:rPr>
                <w:rtl w:val="0"/>
              </w:rPr>
            </w:r>
          </w:p>
        </w:tc>
        <w:tc>
          <w:tcPr>
            <w:tcMar>
              <w:top w:w="0.0" w:type="dxa"/>
              <w:bottom w:w="0.0" w:type="dxa"/>
            </w:tcMar>
            <w:vAlign w:val="center"/>
          </w:tcPr>
          <w:p w:rsidR="00000000" w:rsidDel="00000000" w:rsidP="00000000" w:rsidRDefault="00000000" w:rsidRPr="00000000" w14:paraId="0000003D">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5%</w:t>
            </w:r>
            <w:r>
              <w:rPr>
                <w:rtl w:val="0"/>
              </w:rPr>
            </w:r>
          </w:p>
        </w:tc>
        <w:tc>
          <w:tcPr>
            <w:tcMar>
              <w:top w:w="0.0" w:type="dxa"/>
              <w:bottom w:w="0.0" w:type="dxa"/>
            </w:tcMar>
            <w:vAlign w:val="center"/>
          </w:tcPr>
          <w:p w:rsidR="00000000" w:rsidDel="00000000" w:rsidP="00000000" w:rsidRDefault="00000000" w:rsidRPr="00000000" w14:paraId="0000003E">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$2.487.702</w:t>
            </w:r>
            <w:r>
              <w:rPr>
                <w:rtl w:val="0"/>
              </w:rPr>
            </w:r>
          </w:p>
        </w:tc>
      </w:tr>
      <w:tr>
        <w:trPr>
          <w:cantSplit w:val="0"/>
          <w:trHeight w:val="234" w:hRule="atLeast"/>
          <w:tblHeader w:val="0"/>
        </w:trPr>
        <w:tc>
          <w:tcPr>
            <w:tcMar>
              <w:top w:w="0.0" w:type="dxa"/>
              <w:bottom w:w="0.0" w:type="dxa"/>
            </w:tcMar>
            <w:vAlign w:val="center"/>
          </w:tcPr>
          <w:p w:rsidR="00000000" w:rsidDel="00000000" w:rsidP="00000000" w:rsidRDefault="00000000" w:rsidRPr="00000000" w14:paraId="0000003F">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IR</w:t>
            </w:r>
            <w:r>
              <w:rPr>
                <w:rtl w:val="0"/>
              </w:rPr>
            </w:r>
          </w:p>
        </w:tc>
        <w:tc>
          <w:tcPr>
            <w:tcMar>
              <w:top w:w="0.0" w:type="dxa"/>
              <w:bottom w:w="0.0" w:type="dxa"/>
            </w:tcMar>
            <w:vAlign w:val="center"/>
          </w:tcPr>
          <w:p w:rsidR="00000000" w:rsidDel="00000000" w:rsidP="00000000" w:rsidRDefault="00000000" w:rsidRPr="00000000" w14:paraId="00000040">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Montenegro Franco (Infra. de Red)</w:t>
            </w:r>
            <w:r>
              <w:rPr>
                <w:rtl w:val="0"/>
              </w:rPr>
            </w:r>
          </w:p>
        </w:tc>
        <w:tc>
          <w:tcPr>
            <w:tcMar>
              <w:top w:w="0.0" w:type="dxa"/>
              <w:bottom w:w="0.0" w:type="dxa"/>
            </w:tcMar>
            <w:vAlign w:val="center"/>
          </w:tcPr>
          <w:p w:rsidR="00000000" w:rsidDel="00000000" w:rsidP="00000000" w:rsidRDefault="00000000" w:rsidRPr="00000000" w14:paraId="00000041">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39,34</w:t>
            </w:r>
            <w:r>
              <w:rPr>
                <w:rtl w:val="0"/>
              </w:rPr>
            </w:r>
          </w:p>
        </w:tc>
        <w:tc>
          <w:tcPr>
            <w:tcMar>
              <w:top w:w="0.0" w:type="dxa"/>
              <w:bottom w:w="0.0" w:type="dxa"/>
            </w:tcMar>
            <w:vAlign w:val="center"/>
          </w:tcPr>
          <w:p w:rsidR="00000000" w:rsidDel="00000000" w:rsidP="00000000" w:rsidRDefault="00000000" w:rsidRPr="00000000" w14:paraId="00000042">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32</w:t>
            </w:r>
            <w:r>
              <w:rPr>
                <w:rtl w:val="0"/>
              </w:rPr>
            </w:r>
          </w:p>
        </w:tc>
        <w:tc>
          <w:tcPr>
            <w:tcMar>
              <w:top w:w="0.0" w:type="dxa"/>
              <w:bottom w:w="0.0" w:type="dxa"/>
            </w:tcMar>
            <w:vAlign w:val="center"/>
          </w:tcPr>
          <w:p w:rsidR="00000000" w:rsidDel="00000000" w:rsidP="00000000" w:rsidRDefault="00000000" w:rsidRPr="00000000" w14:paraId="00000043">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1.525</w:t>
            </w:r>
            <w:r>
              <w:rPr>
                <w:rtl w:val="0"/>
              </w:rPr>
            </w:r>
          </w:p>
        </w:tc>
        <w:tc>
          <w:tcPr>
            <w:tcMar>
              <w:top w:w="0.0" w:type="dxa"/>
              <w:bottom w:w="0.0" w:type="dxa"/>
            </w:tcMar>
            <w:vAlign w:val="center"/>
          </w:tcPr>
          <w:p w:rsidR="00000000" w:rsidDel="00000000" w:rsidP="00000000" w:rsidRDefault="00000000" w:rsidRPr="00000000" w14:paraId="00000044">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48.800</w:t>
            </w:r>
            <w:r>
              <w:rPr>
                <w:rtl w:val="0"/>
              </w:rPr>
            </w:r>
          </w:p>
        </w:tc>
        <w:tc>
          <w:tcPr>
            <w:tcMar>
              <w:top w:w="0.0" w:type="dxa"/>
              <w:bottom w:w="0.0" w:type="dxa"/>
            </w:tcMar>
            <w:vAlign w:val="center"/>
          </w:tcPr>
          <w:p w:rsidR="00000000" w:rsidDel="00000000" w:rsidP="00000000" w:rsidRDefault="00000000" w:rsidRPr="00000000" w14:paraId="00000045">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5%</w:t>
            </w:r>
            <w:r>
              <w:rPr>
                <w:rtl w:val="0"/>
              </w:rPr>
            </w:r>
          </w:p>
        </w:tc>
        <w:tc>
          <w:tcPr>
            <w:tcMar>
              <w:top w:w="0.0" w:type="dxa"/>
              <w:bottom w:w="0.0" w:type="dxa"/>
            </w:tcMar>
            <w:vAlign w:val="center"/>
          </w:tcPr>
          <w:p w:rsidR="00000000" w:rsidDel="00000000" w:rsidP="00000000" w:rsidRDefault="00000000" w:rsidRPr="00000000" w14:paraId="00000046">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$2.015.782</w:t>
            </w:r>
            <w:r>
              <w:rPr>
                <w:rtl w:val="0"/>
              </w:rPr>
            </w:r>
          </w:p>
        </w:tc>
      </w:tr>
      <w:tr>
        <w:trPr>
          <w:cantSplit w:val="0"/>
          <w:trHeight w:val="214" w:hRule="atLeast"/>
          <w:tblHeader w:val="0"/>
        </w:trPr>
        <w:tc>
          <w:tcPr>
            <w:tcMar>
              <w:top w:w="0.0" w:type="dxa"/>
              <w:bottom w:w="0.0" w:type="dxa"/>
            </w:tcMar>
            <w:vAlign w:val="center"/>
          </w:tcPr>
          <w:p w:rsidR="00000000" w:rsidDel="00000000" w:rsidP="00000000" w:rsidRDefault="00000000" w:rsidRPr="00000000" w14:paraId="00000047">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BD</w:t>
            </w:r>
            <w:r>
              <w:rPr>
                <w:rtl w:val="0"/>
              </w:rPr>
            </w:r>
          </w:p>
        </w:tc>
        <w:tc>
          <w:tcPr>
            <w:tcMar>
              <w:top w:w="0.0" w:type="dxa"/>
              <w:bottom w:w="0.0" w:type="dxa"/>
            </w:tcMar>
            <w:vAlign w:val="center"/>
          </w:tcPr>
          <w:p w:rsidR="00000000" w:rsidDel="00000000" w:rsidP="00000000" w:rsidRDefault="00000000" w:rsidRPr="00000000" w14:paraId="00000048">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Administrador de BD</w:t>
            </w:r>
            <w:r>
              <w:rPr>
                <w:rtl w:val="0"/>
              </w:rPr>
            </w:r>
          </w:p>
        </w:tc>
        <w:tc>
          <w:tcPr>
            <w:tcMar>
              <w:top w:w="0.0" w:type="dxa"/>
              <w:bottom w:w="0.0" w:type="dxa"/>
            </w:tcMar>
            <w:vAlign w:val="center"/>
          </w:tcPr>
          <w:p w:rsidR="00000000" w:rsidDel="00000000" w:rsidP="00000000" w:rsidRDefault="00000000" w:rsidRPr="00000000" w14:paraId="00000049">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15,07</w:t>
            </w:r>
            <w:r>
              <w:rPr>
                <w:rtl w:val="0"/>
              </w:rPr>
            </w:r>
          </w:p>
        </w:tc>
        <w:tc>
          <w:tcPr>
            <w:tcMar>
              <w:top w:w="0.0" w:type="dxa"/>
              <w:bottom w:w="0.0" w:type="dxa"/>
            </w:tcMar>
            <w:vAlign w:val="center"/>
          </w:tcPr>
          <w:p w:rsidR="00000000" w:rsidDel="00000000" w:rsidP="00000000" w:rsidRDefault="00000000" w:rsidRPr="00000000" w14:paraId="0000004A">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32</w:t>
            </w:r>
            <w:r>
              <w:rPr>
                <w:rtl w:val="0"/>
              </w:rPr>
            </w:r>
          </w:p>
        </w:tc>
        <w:tc>
          <w:tcPr>
            <w:tcMar>
              <w:top w:w="0.0" w:type="dxa"/>
              <w:bottom w:w="0.0" w:type="dxa"/>
            </w:tcMar>
            <w:vAlign w:val="center"/>
          </w:tcPr>
          <w:p w:rsidR="00000000" w:rsidDel="00000000" w:rsidP="00000000" w:rsidRDefault="00000000" w:rsidRPr="00000000" w14:paraId="0000004B">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1.525</w:t>
            </w:r>
            <w:r>
              <w:rPr>
                <w:rtl w:val="0"/>
              </w:rPr>
            </w:r>
          </w:p>
        </w:tc>
        <w:tc>
          <w:tcPr>
            <w:tcMar>
              <w:top w:w="0.0" w:type="dxa"/>
              <w:bottom w:w="0.0" w:type="dxa"/>
            </w:tcMar>
            <w:vAlign w:val="center"/>
          </w:tcPr>
          <w:p w:rsidR="00000000" w:rsidDel="00000000" w:rsidP="00000000" w:rsidRDefault="00000000" w:rsidRPr="00000000" w14:paraId="0000004C">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48.800</w:t>
            </w:r>
            <w:r>
              <w:rPr>
                <w:rtl w:val="0"/>
              </w:rPr>
            </w:r>
          </w:p>
        </w:tc>
        <w:tc>
          <w:tcPr>
            <w:tcMar>
              <w:top w:w="0.0" w:type="dxa"/>
              <w:bottom w:w="0.0" w:type="dxa"/>
            </w:tcMar>
            <w:vAlign w:val="center"/>
          </w:tcPr>
          <w:p w:rsidR="00000000" w:rsidDel="00000000" w:rsidP="00000000" w:rsidRDefault="00000000" w:rsidRPr="00000000" w14:paraId="0000004D">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5%</w:t>
            </w:r>
            <w:r>
              <w:rPr>
                <w:rtl w:val="0"/>
              </w:rPr>
            </w:r>
          </w:p>
        </w:tc>
        <w:tc>
          <w:tcPr>
            <w:tcMar>
              <w:top w:w="0.0" w:type="dxa"/>
              <w:bottom w:w="0.0" w:type="dxa"/>
            </w:tcMar>
            <w:vAlign w:val="center"/>
          </w:tcPr>
          <w:p w:rsidR="00000000" w:rsidDel="00000000" w:rsidP="00000000" w:rsidRDefault="00000000" w:rsidRPr="00000000" w14:paraId="0000004E">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$772.187</w:t>
            </w:r>
            <w:r>
              <w:rPr>
                <w:rtl w:val="0"/>
              </w:rPr>
            </w:r>
          </w:p>
        </w:tc>
      </w:tr>
      <w:tr>
        <w:trPr>
          <w:cantSplit w:val="0"/>
          <w:trHeight w:val="214" w:hRule="atLeast"/>
          <w:tblHeader w:val="0"/>
        </w:trPr>
        <w:tc>
          <w:tcPr>
            <w:tcMar>
              <w:top w:w="0.0" w:type="dxa"/>
              <w:bottom w:w="0.0" w:type="dxa"/>
            </w:tcMar>
            <w:vAlign w:val="center"/>
          </w:tcPr>
          <w:p w:rsidR="00000000" w:rsidDel="00000000" w:rsidP="00000000" w:rsidRDefault="00000000" w:rsidRPr="00000000" w14:paraId="0000004F">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DUX</w:t>
            </w:r>
            <w:r>
              <w:rPr>
                <w:rtl w:val="0"/>
              </w:rPr>
            </w:r>
          </w:p>
        </w:tc>
        <w:tc>
          <w:tcPr>
            <w:tcMar>
              <w:top w:w="0.0" w:type="dxa"/>
              <w:bottom w:w="0.0" w:type="dxa"/>
            </w:tcMar>
            <w:vAlign w:val="center"/>
          </w:tcPr>
          <w:p w:rsidR="00000000" w:rsidDel="00000000" w:rsidP="00000000" w:rsidRDefault="00000000" w:rsidRPr="00000000" w14:paraId="00000050">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Diseñador UX/UI (Jaco / landing)</w:t>
            </w:r>
            <w:r>
              <w:rPr>
                <w:rtl w:val="0"/>
              </w:rPr>
            </w:r>
          </w:p>
        </w:tc>
        <w:tc>
          <w:tcPr>
            <w:tcMar>
              <w:top w:w="0.0" w:type="dxa"/>
              <w:bottom w:w="0.0" w:type="dxa"/>
            </w:tcMar>
            <w:vAlign w:val="center"/>
          </w:tcPr>
          <w:p w:rsidR="00000000" w:rsidDel="00000000" w:rsidP="00000000" w:rsidRDefault="00000000" w:rsidRPr="00000000" w14:paraId="00000051">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80,42</w:t>
            </w:r>
            <w:r>
              <w:rPr>
                <w:rtl w:val="0"/>
              </w:rPr>
            </w:r>
          </w:p>
        </w:tc>
        <w:tc>
          <w:tcPr>
            <w:tcMar>
              <w:top w:w="0.0" w:type="dxa"/>
              <w:bottom w:w="0.0" w:type="dxa"/>
            </w:tcMar>
            <w:vAlign w:val="center"/>
          </w:tcPr>
          <w:p w:rsidR="00000000" w:rsidDel="00000000" w:rsidP="00000000" w:rsidRDefault="00000000" w:rsidRPr="00000000" w14:paraId="00000052">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27</w:t>
            </w:r>
            <w:r>
              <w:rPr>
                <w:rtl w:val="0"/>
              </w:rPr>
            </w:r>
          </w:p>
        </w:tc>
        <w:tc>
          <w:tcPr>
            <w:tcMar>
              <w:top w:w="0.0" w:type="dxa"/>
              <w:bottom w:w="0.0" w:type="dxa"/>
            </w:tcMar>
            <w:vAlign w:val="center"/>
          </w:tcPr>
          <w:p w:rsidR="00000000" w:rsidDel="00000000" w:rsidP="00000000" w:rsidRDefault="00000000" w:rsidRPr="00000000" w14:paraId="00000053">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1.525</w:t>
            </w:r>
            <w:r>
              <w:rPr>
                <w:rtl w:val="0"/>
              </w:rPr>
            </w:r>
          </w:p>
        </w:tc>
        <w:tc>
          <w:tcPr>
            <w:tcMar>
              <w:top w:w="0.0" w:type="dxa"/>
              <w:bottom w:w="0.0" w:type="dxa"/>
            </w:tcMar>
            <w:vAlign w:val="center"/>
          </w:tcPr>
          <w:p w:rsidR="00000000" w:rsidDel="00000000" w:rsidP="00000000" w:rsidRDefault="00000000" w:rsidRPr="00000000" w14:paraId="00000054">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41.175</w:t>
            </w:r>
            <w:r>
              <w:rPr>
                <w:rtl w:val="0"/>
              </w:rPr>
            </w:r>
          </w:p>
        </w:tc>
        <w:tc>
          <w:tcPr>
            <w:tcMar>
              <w:top w:w="0.0" w:type="dxa"/>
              <w:bottom w:w="0.0" w:type="dxa"/>
            </w:tcMar>
            <w:vAlign w:val="center"/>
          </w:tcPr>
          <w:p w:rsidR="00000000" w:rsidDel="00000000" w:rsidP="00000000" w:rsidRDefault="00000000" w:rsidRPr="00000000" w14:paraId="00000055">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5%</w:t>
            </w:r>
            <w:r>
              <w:rPr>
                <w:rtl w:val="0"/>
              </w:rPr>
            </w:r>
          </w:p>
        </w:tc>
        <w:tc>
          <w:tcPr>
            <w:tcMar>
              <w:top w:w="0.0" w:type="dxa"/>
              <w:bottom w:w="0.0" w:type="dxa"/>
            </w:tcMar>
            <w:vAlign w:val="center"/>
          </w:tcPr>
          <w:p w:rsidR="00000000" w:rsidDel="00000000" w:rsidP="00000000" w:rsidRDefault="00000000" w:rsidRPr="00000000" w14:paraId="00000056">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$3.476.858</w:t>
            </w:r>
            <w:r>
              <w:rPr>
                <w:rtl w:val="0"/>
              </w:rPr>
            </w:r>
          </w:p>
        </w:tc>
      </w:tr>
      <w:tr>
        <w:trPr>
          <w:cantSplit w:val="0"/>
          <w:trHeight w:val="214" w:hRule="atLeast"/>
          <w:tblHeader w:val="0"/>
        </w:trPr>
        <w:tc>
          <w:tcPr>
            <w:tcMar>
              <w:top w:w="0.0" w:type="dxa"/>
              <w:bottom w:w="0.0" w:type="dxa"/>
            </w:tcMar>
            <w:vAlign w:val="center"/>
          </w:tcPr>
          <w:p w:rsidR="00000000" w:rsidDel="00000000" w:rsidP="00000000" w:rsidRDefault="00000000" w:rsidRPr="00000000" w14:paraId="00000057">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ELE *</w:t>
            </w:r>
            <w:r>
              <w:rPr>
                <w:rtl w:val="0"/>
              </w:rPr>
            </w:r>
          </w:p>
        </w:tc>
        <w:tc>
          <w:tcPr>
            <w:tcMar>
              <w:top w:w="0.0" w:type="dxa"/>
              <w:bottom w:w="0.0" w:type="dxa"/>
            </w:tcMar>
            <w:vAlign w:val="center"/>
          </w:tcPr>
          <w:p w:rsidR="00000000" w:rsidDel="00000000" w:rsidP="00000000" w:rsidRDefault="00000000" w:rsidRPr="00000000" w14:paraId="00000058">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Zamora Nahuel (Electrónica)</w:t>
            </w:r>
            <w:r>
              <w:rPr>
                <w:rtl w:val="0"/>
              </w:rPr>
            </w:r>
          </w:p>
        </w:tc>
        <w:tc>
          <w:tcPr>
            <w:tcMar>
              <w:top w:w="0.0" w:type="dxa"/>
              <w:bottom w:w="0.0" w:type="dxa"/>
            </w:tcMar>
            <w:vAlign w:val="center"/>
          </w:tcPr>
          <w:p w:rsidR="00000000" w:rsidDel="00000000" w:rsidP="00000000" w:rsidRDefault="00000000" w:rsidRPr="00000000" w14:paraId="00000059">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48,27</w:t>
            </w:r>
            <w:r>
              <w:rPr>
                <w:rtl w:val="0"/>
              </w:rPr>
            </w:r>
          </w:p>
        </w:tc>
        <w:tc>
          <w:tcPr>
            <w:tcMar>
              <w:top w:w="0.0" w:type="dxa"/>
              <w:bottom w:w="0.0" w:type="dxa"/>
            </w:tcMar>
            <w:vAlign w:val="center"/>
          </w:tcPr>
          <w:p w:rsidR="00000000" w:rsidDel="00000000" w:rsidP="00000000" w:rsidRDefault="00000000" w:rsidRPr="00000000" w14:paraId="0000005A">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32</w:t>
            </w:r>
            <w:r>
              <w:rPr>
                <w:rtl w:val="0"/>
              </w:rPr>
            </w:r>
          </w:p>
        </w:tc>
        <w:tc>
          <w:tcPr>
            <w:tcMar>
              <w:top w:w="0.0" w:type="dxa"/>
              <w:bottom w:w="0.0" w:type="dxa"/>
            </w:tcMar>
            <w:vAlign w:val="center"/>
          </w:tcPr>
          <w:p w:rsidR="00000000" w:rsidDel="00000000" w:rsidP="00000000" w:rsidRDefault="00000000" w:rsidRPr="00000000" w14:paraId="0000005B">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1.525</w:t>
            </w:r>
            <w:r>
              <w:rPr>
                <w:rtl w:val="0"/>
              </w:rPr>
            </w:r>
          </w:p>
        </w:tc>
        <w:tc>
          <w:tcPr>
            <w:tcMar>
              <w:top w:w="0.0" w:type="dxa"/>
              <w:bottom w:w="0.0" w:type="dxa"/>
            </w:tcMar>
            <w:vAlign w:val="center"/>
          </w:tcPr>
          <w:p w:rsidR="00000000" w:rsidDel="00000000" w:rsidP="00000000" w:rsidRDefault="00000000" w:rsidRPr="00000000" w14:paraId="0000005C">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48.800</w:t>
            </w:r>
            <w:r>
              <w:rPr>
                <w:rtl w:val="0"/>
              </w:rPr>
            </w:r>
          </w:p>
        </w:tc>
        <w:tc>
          <w:tcPr>
            <w:tcMar>
              <w:top w:w="0.0" w:type="dxa"/>
              <w:bottom w:w="0.0" w:type="dxa"/>
            </w:tcMar>
            <w:vAlign w:val="center"/>
          </w:tcPr>
          <w:p w:rsidR="00000000" w:rsidDel="00000000" w:rsidP="00000000" w:rsidRDefault="00000000" w:rsidRPr="00000000" w14:paraId="0000005D">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5%</w:t>
            </w:r>
            <w:r>
              <w:rPr>
                <w:rtl w:val="0"/>
              </w:rPr>
            </w:r>
          </w:p>
        </w:tc>
        <w:tc>
          <w:tcPr>
            <w:tcMar>
              <w:top w:w="0.0" w:type="dxa"/>
              <w:bottom w:w="0.0" w:type="dxa"/>
            </w:tcMar>
            <w:vAlign w:val="center"/>
          </w:tcPr>
          <w:p w:rsidR="00000000" w:rsidDel="00000000" w:rsidP="00000000" w:rsidRDefault="00000000" w:rsidRPr="00000000" w14:paraId="0000005E">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$2.473.355</w:t>
            </w:r>
            <w:r>
              <w:rPr>
                <w:rtl w:val="0"/>
              </w:rPr>
            </w:r>
          </w:p>
        </w:tc>
      </w:tr>
      <w:tr>
        <w:trPr>
          <w:cantSplit w:val="0"/>
          <w:trHeight w:val="214" w:hRule="atLeast"/>
          <w:tblHeader w:val="0"/>
        </w:trPr>
        <w:tc>
          <w:tcPr>
            <w:tcMar>
              <w:top w:w="0.0" w:type="dxa"/>
              <w:bottom w:w="0.0" w:type="dxa"/>
            </w:tcMar>
            <w:vAlign w:val="center"/>
          </w:tcPr>
          <w:p w:rsidR="00000000" w:rsidDel="00000000" w:rsidP="00000000" w:rsidRDefault="00000000" w:rsidRPr="00000000" w14:paraId="0000005F">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MUL *</w:t>
            </w:r>
            <w:r>
              <w:rPr>
                <w:rtl w:val="0"/>
              </w:rPr>
            </w:r>
          </w:p>
        </w:tc>
        <w:tc>
          <w:tcPr>
            <w:tcMar>
              <w:top w:w="0.0" w:type="dxa"/>
              <w:bottom w:w="0.0" w:type="dxa"/>
            </w:tcMar>
            <w:vAlign w:val="center"/>
          </w:tcPr>
          <w:p w:rsidR="00000000" w:rsidDel="00000000" w:rsidP="00000000" w:rsidRDefault="00000000" w:rsidRPr="00000000" w14:paraId="00000060">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Funes Muriel (Multimedios)</w:t>
            </w:r>
            <w:r>
              <w:rPr>
                <w:rtl w:val="0"/>
              </w:rPr>
            </w:r>
          </w:p>
        </w:tc>
        <w:tc>
          <w:tcPr>
            <w:tcMar>
              <w:top w:w="0.0" w:type="dxa"/>
              <w:bottom w:w="0.0" w:type="dxa"/>
            </w:tcMar>
            <w:vAlign w:val="center"/>
          </w:tcPr>
          <w:p w:rsidR="00000000" w:rsidDel="00000000" w:rsidP="00000000" w:rsidRDefault="00000000" w:rsidRPr="00000000" w14:paraId="00000061">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19,82</w:t>
            </w:r>
            <w:r>
              <w:rPr>
                <w:rtl w:val="0"/>
              </w:rPr>
            </w:r>
          </w:p>
        </w:tc>
        <w:tc>
          <w:tcPr>
            <w:tcMar>
              <w:top w:w="0.0" w:type="dxa"/>
              <w:bottom w:w="0.0" w:type="dxa"/>
            </w:tcMar>
            <w:vAlign w:val="center"/>
          </w:tcPr>
          <w:p w:rsidR="00000000" w:rsidDel="00000000" w:rsidP="00000000" w:rsidRDefault="00000000" w:rsidRPr="00000000" w14:paraId="00000062">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27</w:t>
            </w:r>
            <w:r>
              <w:rPr>
                <w:rtl w:val="0"/>
              </w:rPr>
            </w:r>
          </w:p>
        </w:tc>
        <w:tc>
          <w:tcPr>
            <w:tcMar>
              <w:top w:w="0.0" w:type="dxa"/>
              <w:bottom w:w="0.0" w:type="dxa"/>
            </w:tcMar>
            <w:vAlign w:val="center"/>
          </w:tcPr>
          <w:p w:rsidR="00000000" w:rsidDel="00000000" w:rsidP="00000000" w:rsidRDefault="00000000" w:rsidRPr="00000000" w14:paraId="00000063">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1.525</w:t>
            </w:r>
            <w:r>
              <w:rPr>
                <w:rtl w:val="0"/>
              </w:rPr>
            </w:r>
          </w:p>
        </w:tc>
        <w:tc>
          <w:tcPr>
            <w:tcMar>
              <w:top w:w="0.0" w:type="dxa"/>
              <w:bottom w:w="0.0" w:type="dxa"/>
            </w:tcMar>
            <w:vAlign w:val="center"/>
          </w:tcPr>
          <w:p w:rsidR="00000000" w:rsidDel="00000000" w:rsidP="00000000" w:rsidRDefault="00000000" w:rsidRPr="00000000" w14:paraId="00000064">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41.175</w:t>
            </w:r>
            <w:r>
              <w:rPr>
                <w:rtl w:val="0"/>
              </w:rPr>
            </w:r>
          </w:p>
        </w:tc>
        <w:tc>
          <w:tcPr>
            <w:tcMar>
              <w:top w:w="0.0" w:type="dxa"/>
              <w:bottom w:w="0.0" w:type="dxa"/>
            </w:tcMar>
            <w:vAlign w:val="center"/>
          </w:tcPr>
          <w:p w:rsidR="00000000" w:rsidDel="00000000" w:rsidP="00000000" w:rsidRDefault="00000000" w:rsidRPr="00000000" w14:paraId="00000065">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5%</w:t>
            </w:r>
            <w:r>
              <w:rPr>
                <w:rtl w:val="0"/>
              </w:rPr>
            </w:r>
          </w:p>
        </w:tc>
        <w:tc>
          <w:tcPr>
            <w:tcMar>
              <w:top w:w="0.0" w:type="dxa"/>
              <w:bottom w:w="0.0" w:type="dxa"/>
            </w:tcMar>
            <w:vAlign w:val="center"/>
          </w:tcPr>
          <w:p w:rsidR="00000000" w:rsidDel="00000000" w:rsidP="00000000" w:rsidRDefault="00000000" w:rsidRPr="00000000" w14:paraId="00000066">
            <w:pPr>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$856.893</w:t>
            </w:r>
            <w:r>
              <w:rPr>
                <w:rtl w:val="0"/>
              </w:rPr>
            </w:r>
          </w:p>
        </w:tc>
      </w:tr>
      <w:tr>
        <w:trPr>
          <w:cantSplit w:val="0"/>
          <w:trHeight w:val="293" w:hRule="atLeast"/>
          <w:tblHeader w:val="0"/>
        </w:trPr>
        <w:tc>
          <w:tcPr>
            <w:gridSpan w:val="7"/>
            <w:shd w:fill="DCE7F0" w:val="clear"/>
            <w:tcMar>
              <w:top w:w="0.0" w:type="dxa"/>
              <w:bottom w:w="0.0" w:type="dxa"/>
            </w:tcMar>
          </w:tcPr>
          <w:p w:rsidR="00000000" w:rsidDel="00000000" w:rsidP="00000000" w:rsidRDefault="00000000" w:rsidRPr="00000000" w14:paraId="00000067">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b w:val="1"/>
                <w:bCs w:val="1"/>
                <w:sz w:val="24"/>
                <w:szCs w:val="24"/>
                <w:rtl w:val="0"/>
              </w:rPr>
              <w:t xml:space="preserve">SUBTOTAL COSTOS DE PERSONAL</w:t>
            </w:r>
            <w:r>
              <w:rPr>
                <w:rtl w:val="0"/>
              </w:rPr>
            </w:r>
          </w:p>
        </w:tc>
        <w:tc>
          <w:tcPr>
            <w:shd w:fill="DCE7F0" w:val="clear"/>
            <w:tcMar>
              <w:top w:w="0.0" w:type="dxa"/>
              <w:bottom w:w="0.0" w:type="dxa"/>
            </w:tcMar>
            <w:vAlign w:val="center"/>
          </w:tcPr>
          <w:p w:rsidR="00000000" w:rsidDel="00000000" w:rsidP="00000000" w:rsidRDefault="00000000" w:rsidRPr="00000000" w14:paraId="0000006E">
            <w:pPr>
              <w:jc w:val="center"/>
              <w:rPr>
                <w:rFonts w:ascii="IBM Plex Sans" w:cs="IBM Plex Sans" w:eastAsia="IBM Plex Sans" w:hAnsi="IBM Plex Sans"/>
                <w:sz w:val="24"/>
                <w:szCs w:val="24"/>
              </w:rPr>
            </w:pPr>
            <w:r>
              <w:rPr>
                <w:rFonts w:ascii="IBM Plex Sans" w:cs="IBM Plex Sans" w:eastAsia="IBM Plex Sans" w:hAnsi="IBM Plex Sans"/>
                <w:b w:val="1"/>
                <w:bCs w:val="1"/>
                <w:color w:val="000000"/>
                <w:sz w:val="24"/>
                <w:szCs w:val="24"/>
                <w:rtl w:val="0"/>
              </w:rPr>
              <w:t xml:space="preserve">$29.411.089</w:t>
            </w:r>
            <w:r>
              <w:rPr>
                <w:rtl w:val="0"/>
              </w:rPr>
            </w:r>
          </w:p>
        </w:tc>
      </w:tr>
    </w:tbl>
    <w:p w:rsidR="00000000" w:rsidDel="00000000" w:rsidP="00000000" w:rsidRDefault="00000000" w:rsidRPr="00000000" w14:paraId="0000006F">
      <w:pPr>
        <w:pStyle w:val="Heading2"/>
        <w:spacing w:after="150" w:before="300" w:lineRule="auto"/>
        <w:rPr>
          <w:rFonts w:ascii="Questrial" w:cs="Questrial" w:eastAsia="Questrial" w:hAnsi="Questrial"/>
          <w:sz w:val="28"/>
          <w:szCs w:val="28"/>
        </w:rPr>
      </w:pPr>
      <w:r>
        <w:rPr>
          <w:rtl w:val="0"/>
        </w:rPr>
      </w:r>
    </w:p>
    <w:p w:rsidR="00000000" w:rsidDel="00000000" w:rsidP="00000000" w:rsidRDefault="00000000" w:rsidRPr="00000000" w14:paraId="00000070">
      <w:pPr>
        <w:pStyle w:val="Heading2"/>
        <w:spacing w:after="150" w:before="300" w:lineRule="auto"/>
        <w:rPr>
          <w:rFonts w:ascii="Questrial" w:cs="Questrial" w:eastAsia="Questrial" w:hAnsi="Questrial"/>
          <w:color w:val="1E3A5F"/>
          <w:sz w:val="30"/>
          <w:szCs w:val="30"/>
        </w:rPr>
      </w:pPr>
      <w:r>
        <w:rPr>
          <w:rFonts w:ascii="Questrial" w:cs="Questrial" w:eastAsia="Questrial" w:hAnsi="Questrial"/>
          <w:color w:val="1E3A5F"/>
          <w:sz w:val="30"/>
          <w:szCs w:val="30"/>
          <w:rtl w:val="0"/>
        </w:rPr>
        <w:t xml:space="preserve">3.2 Costos de componentes electrónicos</w:t>
      </w:r>
    </w:p>
    <w:p w:rsidR="00000000" w:rsidDel="00000000" w:rsidP="00000000" w:rsidRDefault="00000000" w:rsidRPr="00000000" w14:paraId="00000071">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Corresponde al presupuesto de componentes ya relevado, agrupado en los mismos 4 bloques de compra.</w:t>
      </w:r>
    </w:p>
    <w:p w:rsidR="00000000" w:rsidDel="00000000" w:rsidP="00000000" w:rsidRDefault="00000000" w:rsidRPr="00000000" w14:paraId="00000072">
      <w:pPr>
        <w:spacing w:after="150" w:lineRule="auto"/>
        <w:jc w:val="both"/>
        <w:rPr>
          <w:rFonts w:ascii="IBM Plex Sans" w:cs="IBM Plex Sans" w:eastAsia="IBM Plex Sans" w:hAnsi="IBM Plex Sans"/>
          <w:sz w:val="24"/>
          <w:szCs w:val="24"/>
        </w:rPr>
      </w:pPr>
      <w:sdt>
        <w:sdtPr>
          <w:id w:val="663124119"/>
          <w:tag w:val="goog_rdk_0"/>
        </w:sdtPr>
        <w:sdtContent>
          <w:r>
            <w:rPr>
              <w:rFonts w:ascii="IBM Plex Sans" w:cs="IBM Plex Sans" w:eastAsia="IBM Plex Sans" w:hAnsi="IBM Plex Sans"/>
              <w:sz w:val="24"/>
              <w:szCs w:val="24"/>
              <w:rtl w:val="0"/>
            </w:rPr>
            <w:t xml:space="preserve">⚠ Actualización 19-24/08/26: se confirmó el modelo real del telar (Vamatex C 201) y su botonera (24V AC, medida en la máquina). El alcance del Bloque A se mantiene en 3 relés (Marcha, Pausa, Retroceder) y se le sumó el sensado de esos mismos tres botones mediante optoacopladores, para que la web detecte cuándo se los usa a mano en la máquina. La alimentación del sistema es una fuente propia HLK-5M05 (220V→5V), independiente del telar. El Bloque B pasó a ser medición/test sin costo (instrumental prestado). Con el gabinete, prensacables y borneras ya cargados como costo real, el subtotal de componentes quedó en $122.139.</w:t>
          </w:r>
        </w:sdtContent>
      </w:sdt>
    </w:p>
    <w:tbl>
      <w:tblPr>
        <w:tblStyle w:val="Table2"/>
        <w:tblW w:w="150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4"/>
        <w:gridCol w:w="4621"/>
        <w:gridCol w:w="6046"/>
        <w:gridCol w:w="2315"/>
        <w:tblGridChange w:id="0">
          <w:tblGrid>
            <w:gridCol w:w="2024"/>
            <w:gridCol w:w="4621"/>
            <w:gridCol w:w="6046"/>
            <w:gridCol w:w="2315"/>
          </w:tblGrid>
        </w:tblGridChange>
      </w:tblGrid>
      <w:tr>
        <w:trPr>
          <w:cantSplit w:val="0"/>
          <w:trHeight w:val="234" w:hRule="atLeast"/>
          <w:tblHeader w:val="1"/>
        </w:trPr>
        <w:tc>
          <w:tcPr>
            <w:shd w:fill="1E3A5F" w:val="clear"/>
            <w:tcMar>
              <w:top w:w="0.0" w:type="dxa"/>
              <w:bottom w:w="0.0" w:type="dxa"/>
            </w:tcMar>
            <w:vAlign w:val="center"/>
          </w:tcPr>
          <w:p w:rsidR="00000000" w:rsidDel="00000000" w:rsidP="00000000" w:rsidRDefault="00000000" w:rsidRPr="00000000" w14:paraId="00000073">
            <w:pPr>
              <w:spacing w:after="120" w:before="120" w:line="276" w:lineRule="auto"/>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Bloque</w:t>
            </w:r>
            <w:r>
              <w:rPr>
                <w:rtl w:val="0"/>
              </w:rPr>
            </w:r>
          </w:p>
        </w:tc>
        <w:tc>
          <w:tcPr>
            <w:shd w:fill="1E3A5F" w:val="clear"/>
            <w:tcMar>
              <w:top w:w="0.0" w:type="dxa"/>
              <w:bottom w:w="0.0" w:type="dxa"/>
            </w:tcMar>
            <w:vAlign w:val="center"/>
          </w:tcPr>
          <w:p w:rsidR="00000000" w:rsidDel="00000000" w:rsidP="00000000" w:rsidRDefault="00000000" w:rsidRPr="00000000" w14:paraId="00000074">
            <w:pPr>
              <w:spacing w:after="120" w:before="120" w:line="276" w:lineRule="auto"/>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Descripción</w:t>
            </w:r>
            <w:r>
              <w:rPr>
                <w:rtl w:val="0"/>
              </w:rPr>
            </w:r>
          </w:p>
        </w:tc>
        <w:tc>
          <w:tcPr>
            <w:shd w:fill="1E3A5F" w:val="clear"/>
            <w:tcMar>
              <w:top w:w="0.0" w:type="dxa"/>
              <w:bottom w:w="0.0" w:type="dxa"/>
            </w:tcMar>
            <w:vAlign w:val="center"/>
          </w:tcPr>
          <w:p w:rsidR="00000000" w:rsidDel="00000000" w:rsidP="00000000" w:rsidRDefault="00000000" w:rsidRPr="00000000" w14:paraId="00000075">
            <w:pPr>
              <w:spacing w:after="120" w:before="120" w:line="276" w:lineRule="auto"/>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Momento de compra</w:t>
            </w:r>
            <w:r>
              <w:rPr>
                <w:rtl w:val="0"/>
              </w:rPr>
            </w:r>
          </w:p>
        </w:tc>
        <w:tc>
          <w:tcPr>
            <w:shd w:fill="1E3A5F" w:val="clear"/>
            <w:tcMar>
              <w:top w:w="0.0" w:type="dxa"/>
              <w:bottom w:w="0.0" w:type="dxa"/>
            </w:tcMar>
            <w:vAlign w:val="center"/>
          </w:tcPr>
          <w:p w:rsidR="00000000" w:rsidDel="00000000" w:rsidP="00000000" w:rsidRDefault="00000000" w:rsidRPr="00000000" w14:paraId="00000076">
            <w:pPr>
              <w:spacing w:after="120" w:before="120" w:line="276" w:lineRule="auto"/>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Subtotal (ARS)</w:t>
            </w:r>
            <w:r>
              <w:rPr>
                <w:rtl w:val="0"/>
              </w:rPr>
            </w:r>
          </w:p>
        </w:tc>
      </w:tr>
      <w:tr>
        <w:trPr>
          <w:cantSplit w:val="0"/>
          <w:trHeight w:val="234" w:hRule="atLeast"/>
          <w:tblHeader w:val="0"/>
        </w:trPr>
        <w:tc>
          <w:tcPr>
            <w:tcMar>
              <w:top w:w="0.0" w:type="dxa"/>
              <w:bottom w:w="0.0" w:type="dxa"/>
            </w:tcMar>
            <w:vAlign w:val="center"/>
          </w:tcPr>
          <w:p w:rsidR="00000000" w:rsidDel="00000000" w:rsidP="00000000" w:rsidRDefault="00000000" w:rsidRPr="00000000" w14:paraId="00000077">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Bloque A</w:t>
            </w:r>
            <w:r>
              <w:rPr>
                <w:rtl w:val="0"/>
              </w:rPr>
            </w:r>
          </w:p>
        </w:tc>
        <w:tc>
          <w:tcPr>
            <w:tcMar>
              <w:top w:w="0.0" w:type="dxa"/>
              <w:bottom w:w="0.0" w:type="dxa"/>
            </w:tcMar>
            <w:vAlign w:val="center"/>
          </w:tcPr>
          <w:p w:rsidR="00000000" w:rsidDel="00000000" w:rsidP="00000000" w:rsidRDefault="00000000" w:rsidRPr="00000000" w14:paraId="00000078">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Nivel 1: Marcha, Pausa y Retroceder en el telar</w:t>
            </w:r>
            <w:r>
              <w:rPr>
                <w:rtl w:val="0"/>
              </w:rPr>
            </w:r>
          </w:p>
        </w:tc>
        <w:tc>
          <w:tcPr>
            <w:tcMar>
              <w:top w:w="0.0" w:type="dxa"/>
              <w:bottom w:w="0.0" w:type="dxa"/>
            </w:tcMar>
            <w:vAlign w:val="center"/>
          </w:tcPr>
          <w:p w:rsidR="00000000" w:rsidDel="00000000" w:rsidP="00000000" w:rsidRDefault="00000000" w:rsidRPr="00000000" w14:paraId="00000079">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Comprado e instalado (Etapa 4)</w:t>
            </w:r>
            <w:r>
              <w:rPr>
                <w:rtl w:val="0"/>
              </w:rPr>
            </w:r>
          </w:p>
        </w:tc>
        <w:tc>
          <w:tcPr>
            <w:tcMar>
              <w:top w:w="0.0" w:type="dxa"/>
              <w:bottom w:w="0.0" w:type="dxa"/>
            </w:tcMar>
            <w:vAlign w:val="center"/>
          </w:tcPr>
          <w:p w:rsidR="00000000" w:rsidDel="00000000" w:rsidP="00000000" w:rsidRDefault="00000000" w:rsidRPr="00000000" w14:paraId="0000007A">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$73.653</w:t>
            </w:r>
          </w:p>
        </w:tc>
      </w:tr>
      <w:tr>
        <w:trPr>
          <w:cantSplit w:val="0"/>
          <w:trHeight w:val="234" w:hRule="atLeast"/>
          <w:tblHeader w:val="0"/>
        </w:trPr>
        <w:tc>
          <w:tcPr>
            <w:tcMar>
              <w:top w:w="0.0" w:type="dxa"/>
              <w:bottom w:w="0.0" w:type="dxa"/>
            </w:tcMar>
            <w:vAlign w:val="center"/>
          </w:tcPr>
          <w:p w:rsidR="00000000" w:rsidDel="00000000" w:rsidP="00000000" w:rsidRDefault="00000000" w:rsidRPr="00000000" w14:paraId="0000007B">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w:t>
            </w:r>
            <w:r>
              <w:rPr>
                <w:rtl w:val="0"/>
              </w:rPr>
            </w:r>
          </w:p>
        </w:tc>
        <w:tc>
          <w:tcPr>
            <w:tcMar>
              <w:top w:w="0.0" w:type="dxa"/>
              <w:bottom w:w="0.0" w:type="dxa"/>
            </w:tcMar>
            <w:vAlign w:val="center"/>
          </w:tcPr>
          <w:p w:rsidR="00000000" w:rsidDel="00000000" w:rsidP="00000000" w:rsidRDefault="00000000" w:rsidRPr="00000000" w14:paraId="0000007C">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Medición del telar</w:t>
            </w:r>
            <w:r>
              <w:rPr>
                <w:rtl w:val="0"/>
              </w:rPr>
            </w:r>
          </w:p>
        </w:tc>
        <w:tc>
          <w:tcPr>
            <w:tcMar>
              <w:top w:w="0.0" w:type="dxa"/>
              <w:bottom w:w="0.0" w:type="dxa"/>
            </w:tcMar>
            <w:vAlign w:val="center"/>
          </w:tcPr>
          <w:p w:rsidR="00000000" w:rsidDel="00000000" w:rsidP="00000000" w:rsidRDefault="00000000" w:rsidRPr="00000000" w14:paraId="0000007D">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Casi todo prestado / gratis, primer paso</w:t>
            </w:r>
            <w:r>
              <w:rPr>
                <w:rtl w:val="0"/>
              </w:rPr>
            </w:r>
          </w:p>
        </w:tc>
        <w:tc>
          <w:tcPr>
            <w:tcMar>
              <w:top w:w="0.0" w:type="dxa"/>
              <w:bottom w:w="0.0" w:type="dxa"/>
            </w:tcMar>
            <w:vAlign w:val="center"/>
          </w:tcPr>
          <w:p w:rsidR="00000000" w:rsidDel="00000000" w:rsidP="00000000" w:rsidRDefault="00000000" w:rsidRPr="00000000" w14:paraId="0000007E">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Incluido en gastos operativos</w:t>
            </w:r>
          </w:p>
        </w:tc>
      </w:tr>
      <w:tr>
        <w:trPr>
          <w:cantSplit w:val="0"/>
          <w:trHeight w:val="255" w:hRule="atLeast"/>
          <w:tblHeader w:val="0"/>
        </w:trPr>
        <w:tc>
          <w:tcPr>
            <w:tcMar>
              <w:top w:w="0.0" w:type="dxa"/>
              <w:bottom w:w="0.0" w:type="dxa"/>
            </w:tcMar>
            <w:vAlign w:val="center"/>
          </w:tcPr>
          <w:p w:rsidR="00000000" w:rsidDel="00000000" w:rsidP="00000000" w:rsidRDefault="00000000" w:rsidRPr="00000000" w14:paraId="0000007F">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Bloque C</w:t>
            </w:r>
            <w:r>
              <w:rPr>
                <w:rtl w:val="0"/>
              </w:rPr>
            </w:r>
          </w:p>
        </w:tc>
        <w:tc>
          <w:tcPr>
            <w:tcMar>
              <w:top w:w="0.0" w:type="dxa"/>
              <w:bottom w:w="0.0" w:type="dxa"/>
            </w:tcMar>
            <w:vAlign w:val="center"/>
          </w:tcPr>
          <w:p w:rsidR="00000000" w:rsidDel="00000000" w:rsidP="00000000" w:rsidRDefault="00000000" w:rsidRPr="00000000" w14:paraId="00000080">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Sensor de pasada</w:t>
            </w:r>
            <w:r>
              <w:rPr>
                <w:rtl w:val="0"/>
              </w:rPr>
            </w:r>
          </w:p>
        </w:tc>
        <w:tc>
          <w:tcPr>
            <w:tcMar>
              <w:top w:w="0.0" w:type="dxa"/>
              <w:bottom w:w="0.0" w:type="dxa"/>
            </w:tcMar>
            <w:vAlign w:val="center"/>
          </w:tcPr>
          <w:p w:rsidR="00000000" w:rsidDel="00000000" w:rsidP="00000000" w:rsidRDefault="00000000" w:rsidRPr="00000000" w14:paraId="00000081">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Sensor ya comprado; el resto, junto con el Bloque D</w:t>
            </w:r>
            <w:r>
              <w:rPr>
                <w:rtl w:val="0"/>
              </w:rPr>
            </w:r>
          </w:p>
        </w:tc>
        <w:tc>
          <w:tcPr>
            <w:tcMar>
              <w:top w:w="0.0" w:type="dxa"/>
              <w:bottom w:w="0.0" w:type="dxa"/>
            </w:tcMar>
            <w:vAlign w:val="center"/>
          </w:tcPr>
          <w:p w:rsidR="00000000" w:rsidDel="00000000" w:rsidP="00000000" w:rsidRDefault="00000000" w:rsidRPr="00000000" w14:paraId="00000082">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$13.950</w:t>
            </w:r>
          </w:p>
        </w:tc>
      </w:tr>
      <w:tr>
        <w:trPr>
          <w:cantSplit w:val="0"/>
          <w:trHeight w:val="234" w:hRule="atLeast"/>
          <w:tblHeader w:val="0"/>
        </w:trPr>
        <w:tc>
          <w:tcPr>
            <w:tcMar>
              <w:top w:w="0.0" w:type="dxa"/>
              <w:bottom w:w="0.0" w:type="dxa"/>
            </w:tcMar>
            <w:vAlign w:val="center"/>
          </w:tcPr>
          <w:p w:rsidR="00000000" w:rsidDel="00000000" w:rsidP="00000000" w:rsidRDefault="00000000" w:rsidRPr="00000000" w14:paraId="00000083">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Bloque D</w:t>
            </w:r>
            <w:r>
              <w:rPr>
                <w:rtl w:val="0"/>
              </w:rPr>
            </w:r>
          </w:p>
        </w:tc>
        <w:tc>
          <w:tcPr>
            <w:tcMar>
              <w:top w:w="0.0" w:type="dxa"/>
              <w:bottom w:w="0.0" w:type="dxa"/>
            </w:tcMar>
            <w:vAlign w:val="center"/>
          </w:tcPr>
          <w:p w:rsidR="00000000" w:rsidDel="00000000" w:rsidP="00000000" w:rsidRDefault="00000000" w:rsidRPr="00000000" w14:paraId="00000084">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Nivel 2: bobinas de selección</w:t>
            </w:r>
            <w:r>
              <w:rPr>
                <w:rtl w:val="0"/>
              </w:rPr>
            </w:r>
          </w:p>
        </w:tc>
        <w:tc>
          <w:tcPr>
            <w:tcMar>
              <w:top w:w="0.0" w:type="dxa"/>
              <w:bottom w:w="0.0" w:type="dxa"/>
            </w:tcMar>
            <w:vAlign w:val="center"/>
          </w:tcPr>
          <w:p w:rsidR="00000000" w:rsidDel="00000000" w:rsidP="00000000" w:rsidRDefault="00000000" w:rsidRPr="00000000" w14:paraId="00000085">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Recién después de medir el telar (tarea 5.9)</w:t>
            </w:r>
            <w:r>
              <w:rPr>
                <w:rtl w:val="0"/>
              </w:rPr>
            </w:r>
          </w:p>
        </w:tc>
        <w:tc>
          <w:tcPr>
            <w:tcMar>
              <w:top w:w="0.0" w:type="dxa"/>
              <w:bottom w:w="0.0" w:type="dxa"/>
            </w:tcMar>
            <w:vAlign w:val="center"/>
          </w:tcPr>
          <w:p w:rsidR="00000000" w:rsidDel="00000000" w:rsidP="00000000" w:rsidRDefault="00000000" w:rsidRPr="00000000" w14:paraId="00000086">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$34.536</w:t>
            </w:r>
          </w:p>
        </w:tc>
      </w:tr>
      <w:tr>
        <w:trPr>
          <w:cantSplit w:val="0"/>
          <w:trHeight w:val="298" w:hRule="atLeast"/>
          <w:tblHeader w:val="0"/>
        </w:trPr>
        <w:tc>
          <w:tcPr>
            <w:gridSpan w:val="3"/>
            <w:shd w:fill="DCE7F0" w:val="clear"/>
            <w:tcMar>
              <w:top w:w="0.0" w:type="dxa"/>
              <w:bottom w:w="0.0" w:type="dxa"/>
            </w:tcMar>
          </w:tcPr>
          <w:p w:rsidR="00000000" w:rsidDel="00000000" w:rsidP="00000000" w:rsidRDefault="00000000" w:rsidRPr="00000000" w14:paraId="00000087">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b w:val="1"/>
                <w:bCs w:val="1"/>
                <w:sz w:val="24"/>
                <w:szCs w:val="24"/>
                <w:rtl w:val="0"/>
              </w:rPr>
              <w:t xml:space="preserve">SUBTOTAL COMPONENTES ELECTRÓNICOS</w:t>
            </w:r>
            <w:r>
              <w:rPr>
                <w:rtl w:val="0"/>
              </w:rPr>
            </w:r>
          </w:p>
        </w:tc>
        <w:tc>
          <w:tcPr>
            <w:shd w:fill="DCE7F0" w:val="clear"/>
            <w:tcMar>
              <w:top w:w="0.0" w:type="dxa"/>
              <w:bottom w:w="0.0" w:type="dxa"/>
            </w:tcMar>
            <w:vAlign w:val="center"/>
          </w:tcPr>
          <w:p w:rsidR="00000000" w:rsidDel="00000000" w:rsidP="00000000" w:rsidRDefault="00000000" w:rsidRPr="00000000" w14:paraId="0000008A">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b w:val="1"/>
                <w:bCs w:val="1"/>
                <w:color w:val="000000"/>
                <w:sz w:val="24"/>
                <w:szCs w:val="24"/>
                <w:rtl w:val="0"/>
              </w:rPr>
              <w:t xml:space="preserve">$122.139</w:t>
            </w:r>
            <w:r>
              <w:rPr>
                <w:rtl w:val="0"/>
              </w:rPr>
            </w:r>
          </w:p>
        </w:tc>
      </w:tr>
    </w:tbl>
    <w:p w:rsidR="00000000" w:rsidDel="00000000" w:rsidP="00000000" w:rsidRDefault="00000000" w:rsidRPr="00000000" w14:paraId="0000008B">
      <w:pPr>
        <w:pStyle w:val="Heading2"/>
        <w:spacing w:after="150" w:before="300" w:lineRule="auto"/>
        <w:rPr>
          <w:rFonts w:ascii="Questrial" w:cs="Questrial" w:eastAsia="Questrial" w:hAnsi="Questrial"/>
          <w:sz w:val="30"/>
          <w:szCs w:val="30"/>
        </w:rPr>
      </w:pPr>
      <w:r>
        <w:rPr>
          <w:rtl w:val="0"/>
        </w:rPr>
      </w:r>
    </w:p>
    <w:p w:rsidR="00000000" w:rsidDel="00000000" w:rsidP="00000000" w:rsidRDefault="00000000" w:rsidRPr="00000000" w14:paraId="0000008C">
      <w:pPr>
        <w:pStyle w:val="Heading2"/>
        <w:spacing w:after="150" w:before="300" w:lineRule="auto"/>
        <w:rPr>
          <w:rFonts w:ascii="Questrial" w:cs="Questrial" w:eastAsia="Questrial" w:hAnsi="Questrial"/>
          <w:color w:val="1E3A5F"/>
          <w:sz w:val="30"/>
          <w:szCs w:val="30"/>
        </w:rPr>
      </w:pPr>
      <w:r>
        <w:rPr>
          <w:rFonts w:ascii="Questrial" w:cs="Questrial" w:eastAsia="Questrial" w:hAnsi="Questrial"/>
          <w:color w:val="1E3A5F"/>
          <w:sz w:val="30"/>
          <w:szCs w:val="30"/>
          <w:rtl w:val="0"/>
        </w:rPr>
        <w:t xml:space="preserve">3.3 Costos varios / operativos</w:t>
      </w:r>
    </w:p>
    <w:p w:rsidR="00000000" w:rsidDel="00000000" w:rsidP="00000000" w:rsidRDefault="00000000" w:rsidRPr="00000000" w14:paraId="0000008D">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Gastos de funcionamiento del proyecto durante el desarrollo, con 7% de contingencia.</w:t>
      </w:r>
    </w:p>
    <w:tbl>
      <w:tblPr>
        <w:tblStyle w:val="Table3"/>
        <w:tblW w:w="149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97"/>
        <w:gridCol w:w="2506"/>
        <w:gridCol w:w="1537"/>
        <w:gridCol w:w="2094"/>
        <w:gridCol w:w="1838"/>
        <w:gridCol w:w="3059"/>
        <w:tblGridChange w:id="0">
          <w:tblGrid>
            <w:gridCol w:w="3897"/>
            <w:gridCol w:w="2506"/>
            <w:gridCol w:w="1537"/>
            <w:gridCol w:w="2094"/>
            <w:gridCol w:w="1838"/>
            <w:gridCol w:w="3059"/>
          </w:tblGrid>
        </w:tblGridChange>
      </w:tblGrid>
      <w:tr>
        <w:trPr>
          <w:cantSplit w:val="0"/>
          <w:trHeight w:val="234" w:hRule="atLeast"/>
          <w:tblHeader w:val="1"/>
        </w:trPr>
        <w:tc>
          <w:tcPr>
            <w:shd w:fill="1E3A5F" w:val="clear"/>
            <w:tcMar>
              <w:top w:w="0.0" w:type="dxa"/>
              <w:bottom w:w="0.0" w:type="dxa"/>
            </w:tcMar>
            <w:vAlign w:val="center"/>
          </w:tcPr>
          <w:p w:rsidR="00000000" w:rsidDel="00000000" w:rsidP="00000000" w:rsidRDefault="00000000" w:rsidRPr="00000000" w14:paraId="0000008E">
            <w:pPr>
              <w:spacing w:after="120" w:before="120" w:line="276" w:lineRule="auto"/>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Concepto</w:t>
            </w:r>
            <w:r>
              <w:rPr>
                <w:rtl w:val="0"/>
              </w:rPr>
            </w:r>
          </w:p>
        </w:tc>
        <w:tc>
          <w:tcPr>
            <w:shd w:fill="1E3A5F" w:val="clear"/>
            <w:tcMar>
              <w:top w:w="0.0" w:type="dxa"/>
              <w:bottom w:w="0.0" w:type="dxa"/>
            </w:tcMar>
            <w:vAlign w:val="center"/>
          </w:tcPr>
          <w:p w:rsidR="00000000" w:rsidDel="00000000" w:rsidP="00000000" w:rsidRDefault="00000000" w:rsidRPr="00000000" w14:paraId="0000008F">
            <w:pPr>
              <w:spacing w:after="120" w:before="120" w:line="276" w:lineRule="auto"/>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Precio unit.</w:t>
            </w:r>
            <w:r>
              <w:rPr>
                <w:rtl w:val="0"/>
              </w:rPr>
            </w:r>
          </w:p>
        </w:tc>
        <w:tc>
          <w:tcPr>
            <w:shd w:fill="1E3A5F" w:val="clear"/>
            <w:tcMar>
              <w:top w:w="0.0" w:type="dxa"/>
              <w:bottom w:w="0.0" w:type="dxa"/>
            </w:tcMar>
            <w:vAlign w:val="center"/>
          </w:tcPr>
          <w:p w:rsidR="00000000" w:rsidDel="00000000" w:rsidP="00000000" w:rsidRDefault="00000000" w:rsidRPr="00000000" w14:paraId="00000090">
            <w:pPr>
              <w:spacing w:after="120" w:before="120" w:line="276" w:lineRule="auto"/>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Cant.</w:t>
            </w:r>
            <w:r>
              <w:rPr>
                <w:rtl w:val="0"/>
              </w:rPr>
            </w:r>
          </w:p>
        </w:tc>
        <w:tc>
          <w:tcPr>
            <w:shd w:fill="1E3A5F" w:val="clear"/>
            <w:tcMar>
              <w:top w:w="0.0" w:type="dxa"/>
              <w:bottom w:w="0.0" w:type="dxa"/>
            </w:tcMar>
            <w:vAlign w:val="center"/>
          </w:tcPr>
          <w:p w:rsidR="00000000" w:rsidDel="00000000" w:rsidP="00000000" w:rsidRDefault="00000000" w:rsidRPr="00000000" w14:paraId="00000091">
            <w:pPr>
              <w:spacing w:after="120" w:before="120" w:line="276" w:lineRule="auto"/>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Unidad</w:t>
            </w:r>
            <w:r>
              <w:rPr>
                <w:rtl w:val="0"/>
              </w:rPr>
            </w:r>
          </w:p>
        </w:tc>
        <w:tc>
          <w:tcPr>
            <w:shd w:fill="1E3A5F" w:val="clear"/>
            <w:tcMar>
              <w:top w:w="0.0" w:type="dxa"/>
              <w:bottom w:w="0.0" w:type="dxa"/>
            </w:tcMar>
            <w:vAlign w:val="center"/>
          </w:tcPr>
          <w:p w:rsidR="00000000" w:rsidDel="00000000" w:rsidP="00000000" w:rsidRDefault="00000000" w:rsidRPr="00000000" w14:paraId="00000092">
            <w:pPr>
              <w:spacing w:after="120" w:before="120" w:line="276" w:lineRule="auto"/>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Continge.</w:t>
            </w:r>
            <w:r>
              <w:rPr>
                <w:rtl w:val="0"/>
              </w:rPr>
            </w:r>
          </w:p>
        </w:tc>
        <w:tc>
          <w:tcPr>
            <w:shd w:fill="1E3A5F" w:val="clear"/>
            <w:tcMar>
              <w:top w:w="0.0" w:type="dxa"/>
              <w:bottom w:w="0.0" w:type="dxa"/>
            </w:tcMar>
            <w:vAlign w:val="center"/>
          </w:tcPr>
          <w:p w:rsidR="00000000" w:rsidDel="00000000" w:rsidP="00000000" w:rsidRDefault="00000000" w:rsidRPr="00000000" w14:paraId="00000093">
            <w:pPr>
              <w:spacing w:after="120" w:before="120" w:line="276" w:lineRule="auto"/>
              <w:jc w:val="center"/>
              <w:rPr>
                <w:rFonts w:ascii="IBM Plex Sans" w:cs="IBM Plex Sans" w:eastAsia="IBM Plex Sans" w:hAnsi="IBM Plex Sans"/>
                <w:sz w:val="28"/>
                <w:szCs w:val="28"/>
              </w:rPr>
            </w:pPr>
            <w:r>
              <w:rPr>
                <w:rFonts w:ascii="IBM Plex Sans" w:cs="IBM Plex Sans" w:eastAsia="IBM Plex Sans" w:hAnsi="IBM Plex Sans"/>
                <w:b w:val="1"/>
                <w:bCs w:val="1"/>
                <w:color w:val="ffffff"/>
                <w:sz w:val="28"/>
                <w:szCs w:val="28"/>
                <w:rtl w:val="0"/>
              </w:rPr>
              <w:t xml:space="preserve">Subtotal (ARS)</w:t>
            </w:r>
            <w:r>
              <w:rPr>
                <w:rtl w:val="0"/>
              </w:rPr>
            </w:r>
          </w:p>
        </w:tc>
      </w:tr>
      <w:tr>
        <w:trPr>
          <w:cantSplit w:val="0"/>
          <w:trHeight w:val="234" w:hRule="atLeast"/>
          <w:tblHeader w:val="0"/>
        </w:trPr>
        <w:tc>
          <w:tcPr>
            <w:tcMar>
              <w:top w:w="0.0" w:type="dxa"/>
              <w:bottom w:w="0.0" w:type="dxa"/>
            </w:tcMar>
            <w:vAlign w:val="center"/>
          </w:tcPr>
          <w:p w:rsidR="00000000" w:rsidDel="00000000" w:rsidP="00000000" w:rsidRDefault="00000000" w:rsidRPr="00000000" w14:paraId="00000094">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Internet</w:t>
            </w:r>
            <w:r>
              <w:rPr>
                <w:rtl w:val="0"/>
              </w:rPr>
            </w:r>
          </w:p>
        </w:tc>
        <w:tc>
          <w:tcPr>
            <w:tcMar>
              <w:top w:w="0.0" w:type="dxa"/>
              <w:bottom w:w="0.0" w:type="dxa"/>
            </w:tcMar>
            <w:vAlign w:val="center"/>
          </w:tcPr>
          <w:p w:rsidR="00000000" w:rsidDel="00000000" w:rsidP="00000000" w:rsidRDefault="00000000" w:rsidRPr="00000000" w14:paraId="00000095">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$24.000</w:t>
            </w:r>
            <w:r>
              <w:rPr>
                <w:rtl w:val="0"/>
              </w:rPr>
            </w:r>
          </w:p>
        </w:tc>
        <w:tc>
          <w:tcPr>
            <w:tcMar>
              <w:top w:w="0.0" w:type="dxa"/>
              <w:bottom w:w="0.0" w:type="dxa"/>
            </w:tcMar>
            <w:vAlign w:val="center"/>
          </w:tcPr>
          <w:p w:rsidR="00000000" w:rsidDel="00000000" w:rsidP="00000000" w:rsidRDefault="00000000" w:rsidRPr="00000000" w14:paraId="00000096">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2</w:t>
            </w:r>
            <w:r>
              <w:rPr>
                <w:rtl w:val="0"/>
              </w:rPr>
            </w:r>
          </w:p>
        </w:tc>
        <w:tc>
          <w:tcPr>
            <w:tcMar>
              <w:top w:w="0.0" w:type="dxa"/>
              <w:bottom w:w="0.0" w:type="dxa"/>
            </w:tcMar>
            <w:vAlign w:val="center"/>
          </w:tcPr>
          <w:p w:rsidR="00000000" w:rsidDel="00000000" w:rsidP="00000000" w:rsidRDefault="00000000" w:rsidRPr="00000000" w14:paraId="00000097">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meses</w:t>
            </w:r>
            <w:r>
              <w:rPr>
                <w:rtl w:val="0"/>
              </w:rPr>
            </w:r>
          </w:p>
        </w:tc>
        <w:tc>
          <w:tcPr>
            <w:tcMar>
              <w:top w:w="0.0" w:type="dxa"/>
              <w:bottom w:w="0.0" w:type="dxa"/>
            </w:tcMar>
            <w:vAlign w:val="center"/>
          </w:tcPr>
          <w:p w:rsidR="00000000" w:rsidDel="00000000" w:rsidP="00000000" w:rsidRDefault="00000000" w:rsidRPr="00000000" w14:paraId="00000098">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7%</w:t>
            </w:r>
            <w:r>
              <w:rPr>
                <w:rtl w:val="0"/>
              </w:rPr>
            </w:r>
          </w:p>
        </w:tc>
        <w:tc>
          <w:tcPr>
            <w:tcMar>
              <w:top w:w="0.0" w:type="dxa"/>
              <w:bottom w:w="0.0" w:type="dxa"/>
            </w:tcMar>
            <w:vAlign w:val="center"/>
          </w:tcPr>
          <w:p w:rsidR="00000000" w:rsidDel="00000000" w:rsidP="00000000" w:rsidRDefault="00000000" w:rsidRPr="00000000" w14:paraId="00000099">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$51.360</w:t>
            </w:r>
            <w:r>
              <w:rPr>
                <w:rtl w:val="0"/>
              </w:rPr>
            </w:r>
          </w:p>
        </w:tc>
      </w:tr>
      <w:tr>
        <w:trPr>
          <w:cantSplit w:val="0"/>
          <w:trHeight w:val="234" w:hRule="atLeast"/>
          <w:tblHeader w:val="0"/>
        </w:trPr>
        <w:tc>
          <w:tcPr>
            <w:tcMar>
              <w:top w:w="0.0" w:type="dxa"/>
              <w:bottom w:w="0.0" w:type="dxa"/>
            </w:tcMar>
            <w:vAlign w:val="center"/>
          </w:tcPr>
          <w:p w:rsidR="00000000" w:rsidDel="00000000" w:rsidP="00000000" w:rsidRDefault="00000000" w:rsidRPr="00000000" w14:paraId="0000009A">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Insumos materiales</w:t>
            </w:r>
            <w:r>
              <w:rPr>
                <w:rtl w:val="0"/>
              </w:rPr>
            </w:r>
          </w:p>
        </w:tc>
        <w:tc>
          <w:tcPr>
            <w:tcMar>
              <w:top w:w="0.0" w:type="dxa"/>
              <w:bottom w:w="0.0" w:type="dxa"/>
            </w:tcMar>
            <w:vAlign w:val="center"/>
          </w:tcPr>
          <w:p w:rsidR="00000000" w:rsidDel="00000000" w:rsidP="00000000" w:rsidRDefault="00000000" w:rsidRPr="00000000" w14:paraId="0000009B">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$15.000</w:t>
            </w:r>
            <w:r>
              <w:rPr>
                <w:rtl w:val="0"/>
              </w:rPr>
            </w:r>
          </w:p>
        </w:tc>
        <w:tc>
          <w:tcPr>
            <w:tcMar>
              <w:top w:w="0.0" w:type="dxa"/>
              <w:bottom w:w="0.0" w:type="dxa"/>
            </w:tcMar>
            <w:vAlign w:val="center"/>
          </w:tcPr>
          <w:p w:rsidR="00000000" w:rsidDel="00000000" w:rsidP="00000000" w:rsidRDefault="00000000" w:rsidRPr="00000000" w14:paraId="0000009C">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w:t>
            </w:r>
            <w:r>
              <w:rPr>
                <w:rtl w:val="0"/>
              </w:rPr>
            </w:r>
          </w:p>
        </w:tc>
        <w:tc>
          <w:tcPr>
            <w:tcMar>
              <w:top w:w="0.0" w:type="dxa"/>
              <w:bottom w:w="0.0" w:type="dxa"/>
            </w:tcMar>
            <w:vAlign w:val="center"/>
          </w:tcPr>
          <w:p w:rsidR="00000000" w:rsidDel="00000000" w:rsidP="00000000" w:rsidRDefault="00000000" w:rsidRPr="00000000" w14:paraId="0000009D">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unidad</w:t>
            </w:r>
            <w:r>
              <w:rPr>
                <w:rtl w:val="0"/>
              </w:rPr>
            </w:r>
          </w:p>
        </w:tc>
        <w:tc>
          <w:tcPr>
            <w:tcMar>
              <w:top w:w="0.0" w:type="dxa"/>
              <w:bottom w:w="0.0" w:type="dxa"/>
            </w:tcMar>
            <w:vAlign w:val="center"/>
          </w:tcPr>
          <w:p w:rsidR="00000000" w:rsidDel="00000000" w:rsidP="00000000" w:rsidRDefault="00000000" w:rsidRPr="00000000" w14:paraId="0000009E">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7%</w:t>
            </w:r>
            <w:r>
              <w:rPr>
                <w:rtl w:val="0"/>
              </w:rPr>
            </w:r>
          </w:p>
        </w:tc>
        <w:tc>
          <w:tcPr>
            <w:tcMar>
              <w:top w:w="0.0" w:type="dxa"/>
              <w:bottom w:w="0.0" w:type="dxa"/>
            </w:tcMar>
            <w:vAlign w:val="center"/>
          </w:tcPr>
          <w:p w:rsidR="00000000" w:rsidDel="00000000" w:rsidP="00000000" w:rsidRDefault="00000000" w:rsidRPr="00000000" w14:paraId="0000009F">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$16.050</w:t>
            </w:r>
            <w:r>
              <w:rPr>
                <w:rtl w:val="0"/>
              </w:rPr>
            </w:r>
          </w:p>
        </w:tc>
      </w:tr>
      <w:tr>
        <w:trPr>
          <w:cantSplit w:val="0"/>
          <w:trHeight w:val="255" w:hRule="atLeast"/>
          <w:tblHeader w:val="0"/>
        </w:trPr>
        <w:tc>
          <w:tcPr>
            <w:tcMar>
              <w:top w:w="0.0" w:type="dxa"/>
              <w:bottom w:w="0.0" w:type="dxa"/>
            </w:tcMar>
            <w:vAlign w:val="center"/>
          </w:tcPr>
          <w:p w:rsidR="00000000" w:rsidDel="00000000" w:rsidP="00000000" w:rsidRDefault="00000000" w:rsidRPr="00000000" w14:paraId="000000A0">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Insumos tecnológicos</w:t>
            </w:r>
            <w:r>
              <w:rPr>
                <w:rtl w:val="0"/>
              </w:rPr>
            </w:r>
          </w:p>
        </w:tc>
        <w:tc>
          <w:tcPr>
            <w:tcMar>
              <w:top w:w="0.0" w:type="dxa"/>
              <w:bottom w:w="0.0" w:type="dxa"/>
            </w:tcMar>
            <w:vAlign w:val="center"/>
          </w:tcPr>
          <w:p w:rsidR="00000000" w:rsidDel="00000000" w:rsidP="00000000" w:rsidRDefault="00000000" w:rsidRPr="00000000" w14:paraId="000000A1">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$35.000</w:t>
            </w:r>
            <w:r>
              <w:rPr>
                <w:rtl w:val="0"/>
              </w:rPr>
            </w:r>
          </w:p>
        </w:tc>
        <w:tc>
          <w:tcPr>
            <w:tcMar>
              <w:top w:w="0.0" w:type="dxa"/>
              <w:bottom w:w="0.0" w:type="dxa"/>
            </w:tcMar>
            <w:vAlign w:val="center"/>
          </w:tcPr>
          <w:p w:rsidR="00000000" w:rsidDel="00000000" w:rsidP="00000000" w:rsidRDefault="00000000" w:rsidRPr="00000000" w14:paraId="000000A2">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w:t>
            </w:r>
            <w:r>
              <w:rPr>
                <w:rtl w:val="0"/>
              </w:rPr>
            </w:r>
          </w:p>
        </w:tc>
        <w:tc>
          <w:tcPr>
            <w:tcMar>
              <w:top w:w="0.0" w:type="dxa"/>
              <w:bottom w:w="0.0" w:type="dxa"/>
            </w:tcMar>
            <w:vAlign w:val="center"/>
          </w:tcPr>
          <w:p w:rsidR="00000000" w:rsidDel="00000000" w:rsidP="00000000" w:rsidRDefault="00000000" w:rsidRPr="00000000" w14:paraId="000000A3">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unidad</w:t>
            </w:r>
            <w:r>
              <w:rPr>
                <w:rtl w:val="0"/>
              </w:rPr>
            </w:r>
          </w:p>
        </w:tc>
        <w:tc>
          <w:tcPr>
            <w:tcMar>
              <w:top w:w="0.0" w:type="dxa"/>
              <w:bottom w:w="0.0" w:type="dxa"/>
            </w:tcMar>
            <w:vAlign w:val="center"/>
          </w:tcPr>
          <w:p w:rsidR="00000000" w:rsidDel="00000000" w:rsidP="00000000" w:rsidRDefault="00000000" w:rsidRPr="00000000" w14:paraId="000000A4">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7%</w:t>
            </w:r>
            <w:r>
              <w:rPr>
                <w:rtl w:val="0"/>
              </w:rPr>
            </w:r>
          </w:p>
        </w:tc>
        <w:tc>
          <w:tcPr>
            <w:tcMar>
              <w:top w:w="0.0" w:type="dxa"/>
              <w:bottom w:w="0.0" w:type="dxa"/>
            </w:tcMar>
            <w:vAlign w:val="center"/>
          </w:tcPr>
          <w:p w:rsidR="00000000" w:rsidDel="00000000" w:rsidP="00000000" w:rsidRDefault="00000000" w:rsidRPr="00000000" w14:paraId="000000A5">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$37.450</w:t>
            </w:r>
            <w:r>
              <w:rPr>
                <w:rtl w:val="0"/>
              </w:rPr>
            </w:r>
          </w:p>
        </w:tc>
      </w:tr>
      <w:tr>
        <w:trPr>
          <w:cantSplit w:val="0"/>
          <w:trHeight w:val="234" w:hRule="atLeast"/>
          <w:tblHeader w:val="0"/>
        </w:trPr>
        <w:tc>
          <w:tcPr>
            <w:tcMar>
              <w:top w:w="0.0" w:type="dxa"/>
              <w:bottom w:w="0.0" w:type="dxa"/>
            </w:tcMar>
            <w:vAlign w:val="center"/>
          </w:tcPr>
          <w:p w:rsidR="00000000" w:rsidDel="00000000" w:rsidP="00000000" w:rsidRDefault="00000000" w:rsidRPr="00000000" w14:paraId="000000A6">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Entrega de productos</w:t>
            </w:r>
            <w:r>
              <w:rPr>
                <w:rtl w:val="0"/>
              </w:rPr>
            </w:r>
          </w:p>
        </w:tc>
        <w:tc>
          <w:tcPr>
            <w:tcMar>
              <w:top w:w="0.0" w:type="dxa"/>
              <w:bottom w:w="0.0" w:type="dxa"/>
            </w:tcMar>
            <w:vAlign w:val="center"/>
          </w:tcPr>
          <w:p w:rsidR="00000000" w:rsidDel="00000000" w:rsidP="00000000" w:rsidRDefault="00000000" w:rsidRPr="00000000" w14:paraId="000000A7">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$4.500</w:t>
            </w:r>
            <w:r>
              <w:rPr>
                <w:rtl w:val="0"/>
              </w:rPr>
            </w:r>
          </w:p>
        </w:tc>
        <w:tc>
          <w:tcPr>
            <w:tcMar>
              <w:top w:w="0.0" w:type="dxa"/>
              <w:bottom w:w="0.0" w:type="dxa"/>
            </w:tcMar>
            <w:vAlign w:val="center"/>
          </w:tcPr>
          <w:p w:rsidR="00000000" w:rsidDel="00000000" w:rsidP="00000000" w:rsidRDefault="00000000" w:rsidRPr="00000000" w14:paraId="000000A8">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w:t>
            </w:r>
            <w:r>
              <w:rPr>
                <w:rtl w:val="0"/>
              </w:rPr>
            </w:r>
          </w:p>
        </w:tc>
        <w:tc>
          <w:tcPr>
            <w:tcMar>
              <w:top w:w="0.0" w:type="dxa"/>
              <w:bottom w:w="0.0" w:type="dxa"/>
            </w:tcMar>
            <w:vAlign w:val="center"/>
          </w:tcPr>
          <w:p w:rsidR="00000000" w:rsidDel="00000000" w:rsidP="00000000" w:rsidRDefault="00000000" w:rsidRPr="00000000" w14:paraId="000000A9">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unidad</w:t>
            </w:r>
            <w:r>
              <w:rPr>
                <w:rtl w:val="0"/>
              </w:rPr>
            </w:r>
          </w:p>
        </w:tc>
        <w:tc>
          <w:tcPr>
            <w:tcMar>
              <w:top w:w="0.0" w:type="dxa"/>
              <w:bottom w:w="0.0" w:type="dxa"/>
            </w:tcMar>
            <w:vAlign w:val="center"/>
          </w:tcPr>
          <w:p w:rsidR="00000000" w:rsidDel="00000000" w:rsidP="00000000" w:rsidRDefault="00000000" w:rsidRPr="00000000" w14:paraId="000000AA">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7%</w:t>
            </w:r>
            <w:r>
              <w:rPr>
                <w:rtl w:val="0"/>
              </w:rPr>
            </w:r>
          </w:p>
        </w:tc>
        <w:tc>
          <w:tcPr>
            <w:tcMar>
              <w:top w:w="0.0" w:type="dxa"/>
              <w:bottom w:w="0.0" w:type="dxa"/>
            </w:tcMar>
            <w:vAlign w:val="center"/>
          </w:tcPr>
          <w:p w:rsidR="00000000" w:rsidDel="00000000" w:rsidP="00000000" w:rsidRDefault="00000000" w:rsidRPr="00000000" w14:paraId="000000AB">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$4.815</w:t>
            </w:r>
            <w:r>
              <w:rPr>
                <w:rtl w:val="0"/>
              </w:rPr>
            </w:r>
          </w:p>
        </w:tc>
      </w:tr>
      <w:tr>
        <w:trPr>
          <w:cantSplit w:val="0"/>
          <w:trHeight w:val="298" w:hRule="atLeast"/>
          <w:tblHeader w:val="0"/>
        </w:trPr>
        <w:tc>
          <w:tcPr>
            <w:gridSpan w:val="5"/>
            <w:shd w:fill="DCE7F0" w:val="clear"/>
            <w:tcMar>
              <w:top w:w="0.0" w:type="dxa"/>
              <w:bottom w:w="0.0" w:type="dxa"/>
            </w:tcMar>
          </w:tcPr>
          <w:p w:rsidR="00000000" w:rsidDel="00000000" w:rsidP="00000000" w:rsidRDefault="00000000" w:rsidRPr="00000000" w14:paraId="000000AC">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b w:val="1"/>
                <w:bCs w:val="1"/>
                <w:sz w:val="24"/>
                <w:szCs w:val="24"/>
                <w:rtl w:val="0"/>
              </w:rPr>
              <w:t xml:space="preserve">SUBTOTAL COSTOS VARIOS</w:t>
            </w:r>
            <w:r>
              <w:rPr>
                <w:rtl w:val="0"/>
              </w:rPr>
            </w:r>
          </w:p>
        </w:tc>
        <w:tc>
          <w:tcPr>
            <w:shd w:fill="DCE7F0" w:val="clear"/>
            <w:tcMar>
              <w:top w:w="0.0" w:type="dxa"/>
              <w:bottom w:w="0.0" w:type="dxa"/>
            </w:tcMar>
            <w:vAlign w:val="center"/>
          </w:tcPr>
          <w:p w:rsidR="00000000" w:rsidDel="00000000" w:rsidP="00000000" w:rsidRDefault="00000000" w:rsidRPr="00000000" w14:paraId="000000B1">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b w:val="1"/>
                <w:bCs w:val="1"/>
                <w:color w:val="000000"/>
                <w:sz w:val="24"/>
                <w:szCs w:val="24"/>
                <w:rtl w:val="0"/>
              </w:rPr>
              <w:t xml:space="preserve">$109.675</w:t>
            </w:r>
            <w:r>
              <w:rPr>
                <w:rtl w:val="0"/>
              </w:rPr>
            </w:r>
          </w:p>
        </w:tc>
      </w:tr>
    </w:tbl>
    <w:p w:rsidR="00000000" w:rsidDel="00000000" w:rsidP="00000000" w:rsidRDefault="00000000" w:rsidRPr="00000000" w14:paraId="000000B2">
      <w:pPr>
        <w:pStyle w:val="Heading2"/>
        <w:spacing w:after="150" w:before="300" w:lineRule="auto"/>
        <w:rPr>
          <w:rFonts w:ascii="Questrial" w:cs="Questrial" w:eastAsia="Questrial" w:hAnsi="Questrial"/>
          <w:sz w:val="30"/>
          <w:szCs w:val="30"/>
        </w:rPr>
      </w:pPr>
      <w:r>
        <w:rPr>
          <w:rtl w:val="0"/>
        </w:rPr>
      </w:r>
    </w:p>
    <w:p w:rsidR="00000000" w:rsidDel="00000000" w:rsidP="00000000" w:rsidRDefault="00000000" w:rsidRPr="00000000" w14:paraId="000000B3">
      <w:pPr>
        <w:pStyle w:val="Heading2"/>
        <w:spacing w:after="150" w:before="300" w:lineRule="auto"/>
        <w:rPr>
          <w:rFonts w:ascii="Questrial" w:cs="Questrial" w:eastAsia="Questrial" w:hAnsi="Questrial"/>
          <w:color w:val="1E3A5F"/>
          <w:sz w:val="30"/>
          <w:szCs w:val="30"/>
        </w:rPr>
      </w:pPr>
      <w:r>
        <w:rPr>
          <w:rFonts w:ascii="Questrial" w:cs="Questrial" w:eastAsia="Questrial" w:hAnsi="Questrial"/>
          <w:color w:val="1E3A5F"/>
          <w:sz w:val="30"/>
          <w:szCs w:val="30"/>
          <w:rtl w:val="0"/>
        </w:rPr>
        <w:t xml:space="preserve">3.4 Resumen de costos</w:t>
      </w:r>
    </w:p>
    <w:tbl>
      <w:tblPr>
        <w:tblStyle w:val="Table4"/>
        <w:tblW w:w="1496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03"/>
        <w:gridCol w:w="3359"/>
        <w:tblGridChange w:id="0">
          <w:tblGrid>
            <w:gridCol w:w="11603"/>
            <w:gridCol w:w="3359"/>
          </w:tblGrid>
        </w:tblGridChange>
      </w:tblGrid>
      <w:tr>
        <w:trPr>
          <w:cantSplit w:val="0"/>
          <w:trHeight w:val="243" w:hRule="atLeast"/>
          <w:tblHeader w:val="0"/>
        </w:trPr>
        <w:tc>
          <w:tcPr>
            <w:tcMar>
              <w:top w:w="0.0" w:type="dxa"/>
              <w:bottom w:w="0.0" w:type="dxa"/>
            </w:tcMar>
            <w:vAlign w:val="center"/>
          </w:tcPr>
          <w:p w:rsidR="00000000" w:rsidDel="00000000" w:rsidP="00000000" w:rsidRDefault="00000000" w:rsidRPr="00000000" w14:paraId="000000B4">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Costos de personal </w:t>
            </w:r>
            <w:r>
              <w:rPr>
                <w:rtl w:val="0"/>
              </w:rPr>
            </w:r>
          </w:p>
        </w:tc>
        <w:tc>
          <w:tcPr>
            <w:tcMar>
              <w:top w:w="0.0" w:type="dxa"/>
              <w:bottom w:w="0.0" w:type="dxa"/>
            </w:tcMar>
            <w:vAlign w:val="center"/>
          </w:tcPr>
          <w:p w:rsidR="00000000" w:rsidDel="00000000" w:rsidP="00000000" w:rsidRDefault="00000000" w:rsidRPr="00000000" w14:paraId="000000B5">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$29.411.089</w:t>
            </w:r>
            <w:r>
              <w:rPr>
                <w:rtl w:val="0"/>
              </w:rPr>
            </w:r>
          </w:p>
        </w:tc>
      </w:tr>
      <w:tr>
        <w:trPr>
          <w:cantSplit w:val="0"/>
          <w:trHeight w:val="243" w:hRule="atLeast"/>
          <w:tblHeader w:val="0"/>
        </w:trPr>
        <w:tc>
          <w:tcPr>
            <w:tcMar>
              <w:top w:w="0.0" w:type="dxa"/>
              <w:bottom w:w="0.0" w:type="dxa"/>
            </w:tcMar>
            <w:vAlign w:val="center"/>
          </w:tcPr>
          <w:p w:rsidR="00000000" w:rsidDel="00000000" w:rsidP="00000000" w:rsidRDefault="00000000" w:rsidRPr="00000000" w14:paraId="000000B6">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Componentes electrónicos </w:t>
            </w:r>
            <w:r>
              <w:rPr>
                <w:rtl w:val="0"/>
              </w:rPr>
            </w:r>
          </w:p>
        </w:tc>
        <w:tc>
          <w:tcPr>
            <w:tcMar>
              <w:top w:w="0.0" w:type="dxa"/>
              <w:bottom w:w="0.0" w:type="dxa"/>
            </w:tcMar>
            <w:vAlign w:val="center"/>
          </w:tcPr>
          <w:p w:rsidR="00000000" w:rsidDel="00000000" w:rsidP="00000000" w:rsidRDefault="00000000" w:rsidRPr="00000000" w14:paraId="000000B7">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$122.139</w:t>
            </w:r>
            <w:r>
              <w:rPr>
                <w:rtl w:val="0"/>
              </w:rPr>
            </w:r>
          </w:p>
        </w:tc>
      </w:tr>
      <w:tr>
        <w:trPr>
          <w:cantSplit w:val="0"/>
          <w:trHeight w:val="243" w:hRule="atLeast"/>
          <w:tblHeader w:val="0"/>
        </w:trPr>
        <w:tc>
          <w:tcPr>
            <w:tcMar>
              <w:top w:w="0.0" w:type="dxa"/>
              <w:bottom w:w="0.0" w:type="dxa"/>
            </w:tcMar>
            <w:vAlign w:val="center"/>
          </w:tcPr>
          <w:p w:rsidR="00000000" w:rsidDel="00000000" w:rsidP="00000000" w:rsidRDefault="00000000" w:rsidRPr="00000000" w14:paraId="000000B8">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Costos varios / operativos</w:t>
            </w:r>
            <w:r>
              <w:rPr>
                <w:rtl w:val="0"/>
              </w:rPr>
            </w:r>
          </w:p>
        </w:tc>
        <w:tc>
          <w:tcPr>
            <w:tcMar>
              <w:top w:w="0.0" w:type="dxa"/>
              <w:bottom w:w="0.0" w:type="dxa"/>
            </w:tcMar>
            <w:vAlign w:val="center"/>
          </w:tcPr>
          <w:p w:rsidR="00000000" w:rsidDel="00000000" w:rsidP="00000000" w:rsidRDefault="00000000" w:rsidRPr="00000000" w14:paraId="000000B9">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$109.675</w:t>
            </w:r>
            <w:r>
              <w:rPr>
                <w:rtl w:val="0"/>
              </w:rPr>
            </w:r>
          </w:p>
        </w:tc>
      </w:tr>
      <w:tr>
        <w:trPr>
          <w:cantSplit w:val="0"/>
          <w:trHeight w:val="266" w:hRule="atLeast"/>
          <w:tblHeader w:val="0"/>
        </w:trPr>
        <w:tc>
          <w:tcPr>
            <w:shd w:fill="DCE7F0" w:val="clear"/>
            <w:tcMar>
              <w:top w:w="0.0" w:type="dxa"/>
              <w:bottom w:w="0.0" w:type="dxa"/>
            </w:tcMar>
            <w:vAlign w:val="center"/>
          </w:tcPr>
          <w:p w:rsidR="00000000" w:rsidDel="00000000" w:rsidP="00000000" w:rsidRDefault="00000000" w:rsidRPr="00000000" w14:paraId="000000BA">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b w:val="1"/>
                <w:bCs w:val="1"/>
                <w:color w:val="000000"/>
                <w:sz w:val="24"/>
                <w:szCs w:val="24"/>
                <w:rtl w:val="0"/>
              </w:rPr>
              <w:t xml:space="preserve">SUBTOTAL COSTOS DEL PROYECTO</w:t>
            </w:r>
            <w:r>
              <w:rPr>
                <w:rtl w:val="0"/>
              </w:rPr>
            </w:r>
          </w:p>
        </w:tc>
        <w:tc>
          <w:tcPr>
            <w:shd w:fill="DCE7F0" w:val="clear"/>
            <w:tcMar>
              <w:top w:w="0.0" w:type="dxa"/>
              <w:bottom w:w="0.0" w:type="dxa"/>
            </w:tcMar>
            <w:vAlign w:val="center"/>
          </w:tcPr>
          <w:p w:rsidR="00000000" w:rsidDel="00000000" w:rsidP="00000000" w:rsidRDefault="00000000" w:rsidRPr="00000000" w14:paraId="000000BB">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b w:val="1"/>
                <w:bCs w:val="1"/>
                <w:color w:val="000000"/>
                <w:sz w:val="24"/>
                <w:szCs w:val="24"/>
                <w:rtl w:val="0"/>
              </w:rPr>
              <w:t xml:space="preserve">$29.642.903</w:t>
            </w:r>
            <w:r>
              <w:rPr>
                <w:rtl w:val="0"/>
              </w:rPr>
            </w:r>
          </w:p>
        </w:tc>
      </w:tr>
      <w:tr>
        <w:trPr>
          <w:cantSplit w:val="0"/>
          <w:trHeight w:val="243" w:hRule="atLeast"/>
          <w:tblHeader w:val="0"/>
        </w:trPr>
        <w:tc>
          <w:tcPr>
            <w:tcMar>
              <w:top w:w="0.0" w:type="dxa"/>
              <w:bottom w:w="0.0" w:type="dxa"/>
            </w:tcMar>
            <w:vAlign w:val="center"/>
          </w:tcPr>
          <w:p w:rsidR="00000000" w:rsidDel="00000000" w:rsidP="00000000" w:rsidRDefault="00000000" w:rsidRPr="00000000" w14:paraId="000000BC">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Margen (25%)</w:t>
            </w:r>
            <w:r>
              <w:rPr>
                <w:rtl w:val="0"/>
              </w:rPr>
            </w:r>
          </w:p>
        </w:tc>
        <w:tc>
          <w:tcPr>
            <w:tcMar>
              <w:top w:w="0.0" w:type="dxa"/>
              <w:bottom w:w="0.0" w:type="dxa"/>
            </w:tcMar>
            <w:vAlign w:val="center"/>
          </w:tcPr>
          <w:p w:rsidR="00000000" w:rsidDel="00000000" w:rsidP="00000000" w:rsidRDefault="00000000" w:rsidRPr="00000000" w14:paraId="000000BD">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color w:val="000000"/>
                <w:sz w:val="24"/>
                <w:szCs w:val="24"/>
                <w:rtl w:val="0"/>
              </w:rPr>
              <w:t xml:space="preserve">$7.410.726</w:t>
            </w:r>
            <w:r>
              <w:rPr>
                <w:rtl w:val="0"/>
              </w:rPr>
            </w:r>
          </w:p>
        </w:tc>
      </w:tr>
      <w:tr>
        <w:trPr>
          <w:cantSplit w:val="0"/>
          <w:trHeight w:val="243" w:hRule="atLeast"/>
          <w:tblHeader w:val="0"/>
        </w:trPr>
        <w:tc>
          <w:tcPr>
            <w:shd w:fill="16304F" w:val="clear"/>
            <w:tcMar>
              <w:top w:w="0.0" w:type="dxa"/>
              <w:bottom w:w="0.0" w:type="dxa"/>
            </w:tcMar>
            <w:vAlign w:val="center"/>
          </w:tcPr>
          <w:p w:rsidR="00000000" w:rsidDel="00000000" w:rsidP="00000000" w:rsidRDefault="00000000" w:rsidRPr="00000000" w14:paraId="000000BE">
            <w:pPr>
              <w:spacing w:after="120" w:before="120" w:line="276" w:lineRule="auto"/>
              <w:rPr>
                <w:rFonts w:ascii="IBM Plex Sans" w:cs="IBM Plex Sans" w:eastAsia="IBM Plex Sans" w:hAnsi="IBM Plex Sans"/>
                <w:sz w:val="24"/>
                <w:szCs w:val="24"/>
              </w:rPr>
            </w:pPr>
            <w:r>
              <w:rPr>
                <w:rFonts w:ascii="IBM Plex Sans" w:cs="IBM Plex Sans" w:eastAsia="IBM Plex Sans" w:hAnsi="IBM Plex Sans"/>
                <w:b w:val="1"/>
                <w:bCs w:val="1"/>
                <w:color w:val="ffffff"/>
                <w:sz w:val="24"/>
                <w:szCs w:val="24"/>
                <w:rtl w:val="0"/>
              </w:rPr>
              <w:t xml:space="preserve">PRESUPUESTO FINAL DEL PROYECTO</w:t>
            </w:r>
            <w:r>
              <w:rPr>
                <w:rtl w:val="0"/>
              </w:rPr>
            </w:r>
          </w:p>
        </w:tc>
        <w:tc>
          <w:tcPr>
            <w:shd w:fill="16304F" w:val="clear"/>
            <w:tcMar>
              <w:top w:w="0.0" w:type="dxa"/>
              <w:bottom w:w="0.0" w:type="dxa"/>
            </w:tcMar>
            <w:vAlign w:val="center"/>
          </w:tcPr>
          <w:p w:rsidR="00000000" w:rsidDel="00000000" w:rsidP="00000000" w:rsidRDefault="00000000" w:rsidRPr="00000000" w14:paraId="000000BF">
            <w:pPr>
              <w:spacing w:after="120" w:before="120" w:line="276" w:lineRule="auto"/>
              <w:jc w:val="center"/>
              <w:rPr>
                <w:rFonts w:ascii="IBM Plex Sans" w:cs="IBM Plex Sans" w:eastAsia="IBM Plex Sans" w:hAnsi="IBM Plex Sans"/>
                <w:sz w:val="24"/>
                <w:szCs w:val="24"/>
              </w:rPr>
            </w:pPr>
            <w:r>
              <w:rPr>
                <w:rFonts w:ascii="IBM Plex Sans" w:cs="IBM Plex Sans" w:eastAsia="IBM Plex Sans" w:hAnsi="IBM Plex Sans"/>
                <w:b w:val="1"/>
                <w:bCs w:val="1"/>
                <w:color w:val="ffffff"/>
                <w:sz w:val="24"/>
                <w:szCs w:val="24"/>
                <w:rtl w:val="0"/>
              </w:rPr>
              <w:t xml:space="preserve">$37.053.629</w:t>
            </w:r>
            <w:r>
              <w:rPr>
                <w:rtl w:val="0"/>
              </w:rPr>
            </w:r>
          </w:p>
        </w:tc>
      </w:tr>
    </w:tbl>
    <w:p w:rsidR="00000000" w:rsidDel="00000000" w:rsidP="00000000" w:rsidRDefault="00000000" w:rsidRPr="00000000" w14:paraId="000000C0">
      <w:pPr>
        <w:rPr>
          <w:rFonts w:ascii="IBM Plex Sans" w:cs="IBM Plex Sans" w:eastAsia="IBM Plex Sans" w:hAnsi="IBM Plex Sans"/>
          <w:sz w:val="22"/>
          <w:szCs w:val="22"/>
        </w:rPr>
      </w:pPr>
      <w:r>
        <w:rPr>
          <w:rtl w:val="0"/>
        </w:rPr>
      </w:r>
    </w:p>
    <w:p w:rsidR="00000000" w:rsidDel="00000000" w:rsidP="00000000" w:rsidRDefault="00000000" w:rsidRPr="00000000" w14:paraId="000000C1">
      <w:pPr>
        <w:rPr>
          <w:rFonts w:ascii="IBM Plex Sans" w:cs="IBM Plex Sans" w:eastAsia="IBM Plex Sans" w:hAnsi="IBM Plex Sans"/>
          <w:sz w:val="22"/>
          <w:szCs w:val="22"/>
        </w:rPr>
      </w:pPr>
      <w:r>
        <w:rPr>
          <w:rtl w:val="0"/>
        </w:rPr>
      </w:r>
    </w:p>
    <w:p w:rsidR="00000000" w:rsidDel="00000000" w:rsidP="00000000" w:rsidRDefault="00000000" w:rsidRPr="00000000" w14:paraId="000000C2">
      <w:pPr>
        <w:pStyle w:val="Heading1"/>
        <w:rPr>
          <w:rFonts w:ascii="Questrial" w:cs="Questrial" w:eastAsia="Questrial" w:hAnsi="Questrial"/>
          <w:color w:val="1E3A5F"/>
          <w:sz w:val="30"/>
          <w:szCs w:val="30"/>
        </w:rPr>
      </w:pPr>
      <w:r>
        <w:rPr>
          <w:rFonts w:ascii="Questrial" w:cs="Questrial" w:eastAsia="Questrial" w:hAnsi="Questrial"/>
          <w:color w:val="1E3A5F"/>
          <w:sz w:val="30"/>
          <w:szCs w:val="30"/>
          <w:rtl w:val="0"/>
        </w:rPr>
        <w:t xml:space="preserve">3.5 Por qué el costo de personal domina el presupuesto</w:t>
      </w:r>
    </w:p>
    <w:p w:rsidR="00000000" w:rsidDel="00000000" w:rsidP="00000000" w:rsidRDefault="00000000" w:rsidRPr="00000000" w14:paraId="000000C3">
      <w:pPr>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De los $29.642.903 de costo total, el 99,2% ($29.411.089) es costo de personal y apenas el 0,8% restante ($231.814, materiales y gastos operativos) es dinero que el equipo realmente va a desembolsar (componentes + gastos varios). Esto no es un error de cálculo: la tarifa de personal es un valor de referencia de mercado para un profesional junior, aplicado a las 591 horas planificadas de un proyecto de varios meses mide el VALOR del trabajo invertido por el equipo, no un pago en efectivo real entre compañeros. Es el mismo criterio que usa cualquier estudio de factibilidad económica: cuantificar el costo de oportunidad de las horas de trabajo, aunque en este proyecto nadie cobre ese monto. El desembolso de dinero real y concreto del proyecto es, en cambio, muy acotado: $122.139 en componentes electrónicos y $109.675 en gastos varios.</w:t>
      </w:r>
    </w:p>
    <w:p w:rsidR="00000000" w:rsidDel="00000000" w:rsidP="00000000" w:rsidRDefault="00000000" w:rsidRPr="00000000" w14:paraId="000000C4">
      <w:pPr>
        <w:pStyle w:val="Heading1"/>
        <w:rPr>
          <w:rFonts w:ascii="Questrial" w:cs="Questrial" w:eastAsia="Questrial" w:hAnsi="Questrial"/>
          <w:sz w:val="30"/>
          <w:szCs w:val="30"/>
        </w:rPr>
      </w:pPr>
      <w:r>
        <w:rPr>
          <w:rtl w:val="0"/>
        </w:rPr>
      </w:r>
    </w:p>
    <w:p w:rsidR="00000000" w:rsidDel="00000000" w:rsidP="00000000" w:rsidRDefault="00000000" w:rsidRPr="00000000" w14:paraId="000000C5">
      <w:pPr>
        <w:pStyle w:val="Heading1"/>
        <w:rPr>
          <w:rFonts w:ascii="Questrial" w:cs="Questrial" w:eastAsia="Questrial" w:hAnsi="Questrial"/>
          <w:color w:val="1E3A5F"/>
          <w:sz w:val="30"/>
          <w:szCs w:val="30"/>
        </w:rPr>
      </w:pPr>
      <w:r>
        <w:rPr>
          <w:rFonts w:ascii="Questrial" w:cs="Questrial" w:eastAsia="Questrial" w:hAnsi="Questrial"/>
          <w:color w:val="1E3A5F"/>
          <w:sz w:val="30"/>
          <w:szCs w:val="30"/>
          <w:rtl w:val="0"/>
        </w:rPr>
        <w:t xml:space="preserve">3.6 Riesgo de tipo de cambio</w:t>
      </w:r>
    </w:p>
    <w:p w:rsidR="00000000" w:rsidDel="00000000" w:rsidP="00000000" w:rsidRDefault="00000000" w:rsidRPr="00000000" w14:paraId="000000C6">
      <w:pPr>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Como el costo de personal (99,2% del presupuesto) está calculado en USD y convertido a pesos con un tipo de cambio de referencia ($1.525 = 1 USD), toda la estimación es sensible a la cotización del dólar, que en Argentina puede variar de forma significativa en pocos meses. Una suba del 20% en el tipo de cambio elevaría el costo de personal a unos $35.300.000 (y el presupuesto final con margen a cerca de $44.000.000), sin que haya cambiado ni una hora de trabajo real. El costo en componentes electrónicos y gastos varios, al estar presupuestado directamente en pesos, no tiene esta sensibilidad. Conviene tratar el presupuesto final como una referencia a la fecha de este documento, y no como un número fijo si pasa mucho tiempo entre esta estimación y la compra/cierre real. Se recomienda registrar explícitamente en este documento la fecha en la que se tomó el tipo de cambio de referencia ($1.525 = 1 USD), para que quede como dato de contexto claro si el documento se consulta más adelante.</w:t>
      </w:r>
    </w:p>
    <w:p w:rsidR="00000000" w:rsidDel="00000000" w:rsidP="00000000" w:rsidRDefault="00000000" w:rsidRPr="00000000" w14:paraId="000000C7">
      <w:pPr>
        <w:rPr>
          <w:rFonts w:ascii="IBM Plex Sans" w:cs="IBM Plex Sans" w:eastAsia="IBM Plex Sans" w:hAnsi="IBM Plex Sans"/>
          <w:sz w:val="22"/>
          <w:szCs w:val="22"/>
        </w:rPr>
      </w:pPr>
      <w:r>
        <w:rPr>
          <w:rtl w:val="0"/>
        </w:rPr>
      </w:r>
    </w:p>
    <w:p w:rsidR="00000000" w:rsidDel="00000000" w:rsidP="00000000" w:rsidRDefault="00000000" w:rsidRPr="00000000" w14:paraId="000000C8">
      <w:pPr>
        <w:rPr>
          <w:rFonts w:ascii="IBM Plex Sans" w:cs="IBM Plex Sans" w:eastAsia="IBM Plex Sans" w:hAnsi="IBM Plex Sans"/>
          <w:sz w:val="22"/>
          <w:szCs w:val="22"/>
        </w:rPr>
      </w:pPr>
      <w:r>
        <w:rPr>
          <w:rtl w:val="0"/>
        </w:rPr>
      </w:r>
    </w:p>
    <w:p w:rsidR="00000000" w:rsidDel="00000000" w:rsidP="00000000" w:rsidRDefault="00000000" w:rsidRPr="00000000" w14:paraId="000000C9">
      <w:pPr>
        <w:pStyle w:val="Heading1"/>
        <w:spacing w:after="200" w:before="400" w:lineRule="auto"/>
        <w:rPr>
          <w:rFonts w:ascii="Questrial" w:cs="Questrial" w:eastAsia="Questrial" w:hAnsi="Questrial"/>
          <w:color w:val="1E3A5F"/>
          <w:sz w:val="30"/>
          <w:szCs w:val="30"/>
        </w:rPr>
      </w:pPr>
      <w:r>
        <w:rPr>
          <w:rFonts w:ascii="Questrial" w:cs="Questrial" w:eastAsia="Questrial" w:hAnsi="Questrial"/>
          <w:color w:val="1E3A5F"/>
          <w:sz w:val="30"/>
          <w:szCs w:val="30"/>
          <w:rtl w:val="0"/>
        </w:rPr>
        <w:t xml:space="preserve">3.7 Puntos a verificar antes de cerrar el presupuesto</w:t>
      </w:r>
    </w:p>
    <w:p w:rsidR="00000000" w:rsidDel="00000000" w:rsidP="00000000" w:rsidRDefault="00000000" w:rsidRPr="00000000" w14:paraId="000000CA">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Además de los subtotales ya calculados, quedan estos puntos a confirmar contra la lista detallada de componentes (Control de Trama) antes de considerar el presupuesto cerrado:</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both"/>
        <w:rPr>
          <w:rFonts w:ascii="IBM Plex Sans" w:cs="IBM Plex Sans" w:eastAsia="IBM Plex Sans" w:hAnsi="IBM Plex Sans"/>
          <w:i w:val="0"/>
          <w:iCs w:val="0"/>
          <w:smallCaps w:val="0"/>
          <w:strike w:val="0"/>
          <w:color w:val="000000"/>
          <w:sz w:val="24"/>
          <w:szCs w:val="24"/>
          <w:shd w:fill="auto" w:val="clear"/>
          <w:vertAlign w:val="baseline"/>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Cable de control: conecta los 3 relés a los botones físicos del telar. Definido: cable multifilar común de 6 conductores y 1 mm², 3 m (Marcha/Pausa/Retroceder). Se descartó el cable mallado tras consultar con un profesional: la señal de contacto seco a 24 V no lo requiere en esta instalación, lo que sirve tanto para los relés como para el sensado, ya que ambos se conectan al mismo par de terminales de cada botón. Figura como ítems en la lista de componentes, dentro del Bloque A.</w:t>
      </w:r>
      <w:r>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b w:val="0"/>
          <w:bCs w:val="0"/>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Insumos de armado: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estaño/soldadura</w:t>
      </w:r>
      <w:r>
        <w:rPr>
          <w:rFonts w:ascii="IBM Plex Sans" w:cs="IBM Plex Sans" w:eastAsia="IBM Plex Sans" w:hAnsi="IBM Plex Sans"/>
          <w:sz w:val="24"/>
          <w:szCs w:val="24"/>
          <w:rtl w:val="0"/>
        </w:rPr>
        <w:t xml:space="preserve">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y precintos/cinta aisladora. Si no están explícitamente incluidos en “Insumos materiales” ($15.000, sección 3.3), conviene dejarlo aclarado para no asumir una cobertura que no existe.</w:t>
      </w:r>
      <w:r>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rFonts w:ascii="IBM Plex Sans" w:cs="IBM Plex Sans" w:eastAsia="IBM Plex Sans" w:hAnsi="IBM Plex Sans"/>
          <w:i w:val="0"/>
          <w:iCs w:val="0"/>
          <w:smallCaps w:val="0"/>
          <w:strike w:val="0"/>
          <w:color w:val="000000"/>
          <w:sz w:val="24"/>
          <w:szCs w:val="24"/>
          <w:shd w:fill="auto" w:val="clear"/>
          <w:vertAlign w:val="baseline"/>
        </w:rPr>
      </w:pPr>
      <w:sdt>
        <w:sdtPr>
          <w:id w:val="-707200803"/>
          <w:tag w:val="goog_rdk_1"/>
        </w:sdtPr>
        <w:sdtContent>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Gabinete o caja de protección: caja Roker IP65 230x300x106mm, ya comprada, para el ESP32, el módulo de relés y la fuente 220V→5V. Su precio, el de los 4 prensacables PG11 y el de las borneras ya están cargados como costo en el Bloque A de la lista de componentes.</w:t>
          </w:r>
        </w:sdtContent>
      </w:sdt>
      <w:r>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b w:val="0"/>
          <w:bCs w:val="0"/>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Impuestos en las cotizaciones: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confirmar que el subtotal de componentes electrónicos ($122.139) esté tomado sobre el precio final pagado (con impuestos nacionales incluidos) y no sobre el precio neto, sobre todo en los ítems comprados por Mercado Libre.</w:t>
      </w:r>
      <w:r>
        <w:rPr>
          <w:rtl w:val="0"/>
        </w:rPr>
      </w:r>
    </w:p>
    <w:p w:rsidR="00000000" w:rsidDel="00000000" w:rsidP="00000000" w:rsidRDefault="00000000" w:rsidRPr="00000000" w14:paraId="000000CF">
      <w:pPr>
        <w:pStyle w:val="Heading1"/>
        <w:spacing w:after="200" w:before="400" w:lineRule="auto"/>
        <w:rPr>
          <w:rFonts w:ascii="Questrial" w:cs="Questrial" w:eastAsia="Questrial" w:hAnsi="Questrial"/>
          <w:color w:val="1E3A5F"/>
          <w:sz w:val="38"/>
          <w:szCs w:val="38"/>
        </w:rPr>
      </w:pPr>
      <w:r>
        <w:rPr>
          <w:rtl w:val="0"/>
        </w:rPr>
      </w:r>
    </w:p>
    <w:p w:rsidR="00000000" w:rsidDel="00000000" w:rsidP="00000000" w:rsidRDefault="00000000" w:rsidRPr="00000000" w14:paraId="000000D0">
      <w:pPr>
        <w:pStyle w:val="Heading1"/>
        <w:spacing w:after="200" w:before="400" w:lineRule="auto"/>
        <w:rPr>
          <w:rFonts w:ascii="Questrial" w:cs="Questrial" w:eastAsia="Questrial" w:hAnsi="Questrial"/>
          <w:color w:val="1E3A5F"/>
          <w:sz w:val="38"/>
          <w:szCs w:val="38"/>
        </w:rPr>
      </w:pPr>
      <w:r>
        <w:rPr>
          <w:rFonts w:ascii="Questrial" w:cs="Questrial" w:eastAsia="Questrial" w:hAnsi="Questrial"/>
          <w:color w:val="1E3A5F"/>
          <w:sz w:val="38"/>
          <w:szCs w:val="38"/>
          <w:rtl w:val="0"/>
        </w:rPr>
        <w:t xml:space="preserve">4. Ganancia del proyecto y modalidad de inversión</w:t>
      </w:r>
    </w:p>
    <w:p w:rsidR="00000000" w:rsidDel="00000000" w:rsidP="00000000" w:rsidRDefault="00000000" w:rsidRPr="00000000" w14:paraId="000000D1">
      <w:pPr>
        <w:pStyle w:val="Heading2"/>
        <w:spacing w:after="150" w:before="300" w:lineRule="auto"/>
        <w:rPr>
          <w:rFonts w:ascii="Questrial" w:cs="Questrial" w:eastAsia="Questrial" w:hAnsi="Questrial"/>
          <w:color w:val="1E3A5F"/>
          <w:sz w:val="30"/>
          <w:szCs w:val="30"/>
        </w:rPr>
      </w:pPr>
      <w:r>
        <w:rPr>
          <w:rFonts w:ascii="Questrial" w:cs="Questrial" w:eastAsia="Questrial" w:hAnsi="Questrial"/>
          <w:color w:val="1E3A5F"/>
          <w:sz w:val="30"/>
          <w:szCs w:val="30"/>
          <w:rtl w:val="0"/>
        </w:rPr>
        <w:t xml:space="preserve">4.1 Ganancia proyectada</w:t>
      </w:r>
    </w:p>
    <w:p w:rsidR="00000000" w:rsidDel="00000000" w:rsidP="00000000" w:rsidRDefault="00000000" w:rsidRPr="00000000" w14:paraId="000000D2">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Sobre un costo total del proyecto de $29.642.903 (personal + componentes + gastos varios), se aplica un margen del 25%, lo que deja una ganancia proyectada de $7.410.726 sobre un presupuesto final de $37.053.629.</w:t>
      </w:r>
    </w:p>
    <w:p w:rsidR="00000000" w:rsidDel="00000000" w:rsidP="00000000" w:rsidRDefault="00000000" w:rsidRPr="00000000" w14:paraId="000000D3">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Este margen es el mismo que ya definía la plantilla original del proyecto (25%) y funciona como colchón para imprevistos y como excedente/ganancia del equipo, no solo como cobertura de costos.</w:t>
      </w:r>
    </w:p>
    <w:p w:rsidR="00000000" w:rsidDel="00000000" w:rsidP="00000000" w:rsidRDefault="00000000" w:rsidRPr="00000000" w14:paraId="000000D4">
      <w:pPr>
        <w:pStyle w:val="Heading2"/>
        <w:spacing w:after="150" w:before="300" w:lineRule="auto"/>
        <w:rPr>
          <w:rFonts w:ascii="Questrial" w:cs="Questrial" w:eastAsia="Questrial" w:hAnsi="Questrial"/>
          <w:color w:val="1E3A5F"/>
          <w:sz w:val="30"/>
          <w:szCs w:val="30"/>
        </w:rPr>
      </w:pPr>
      <w:r>
        <w:rPr>
          <w:rFonts w:ascii="Questrial" w:cs="Questrial" w:eastAsia="Questrial" w:hAnsi="Questrial"/>
          <w:color w:val="1E3A5F"/>
          <w:sz w:val="30"/>
          <w:szCs w:val="30"/>
          <w:rtl w:val="0"/>
        </w:rPr>
        <w:t xml:space="preserve">4.2 Modalidad de inversión (propuesta a definir por el equipo)</w:t>
      </w:r>
    </w:p>
    <w:p w:rsidR="00000000" w:rsidDel="00000000" w:rsidP="00000000" w:rsidRDefault="00000000" w:rsidRPr="00000000" w14:paraId="000000D5">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El componente de mayor peso en el presupuesto es el costo de personal, que en un proyecto no se paga en efectivo, sino que representa el valor del trabajo invertido por cada integrante (es la referencia usada para dimensionar el esfuerzo, no un pago real). El desembolso de dinero real del proyecto se concentra en:</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BM Plex Sans" w:cs="IBM Plex Sans" w:eastAsia="IBM Plex Sans" w:hAnsi="IBM Plex Sans"/>
          <w:i w:val="0"/>
          <w:iCs w:val="0"/>
          <w:smallCaps w:val="0"/>
          <w:strike w:val="0"/>
          <w:color w:val="000000"/>
          <w:sz w:val="24"/>
          <w:szCs w:val="24"/>
          <w:shd w:fill="auto" w:val="clear"/>
          <w:vertAlign w:val="baseline"/>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Componentes electrónicos: $122.139, distribuidos en los Bloques A, C y D. El Bloque A ya está comprado e instalado; del Bloque C ya se compró el sensor, y lo que falta de los Bloques C y D se compra después de medir el lector óptico.</w:t>
      </w:r>
      <w:r>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IBM Plex Sans" w:cs="IBM Plex Sans" w:eastAsia="IBM Plex Sans" w:hAnsi="IBM Plex Sans"/>
          <w:i w:val="0"/>
          <w:iCs w:val="0"/>
          <w:smallCaps w:val="0"/>
          <w:strike w:val="0"/>
          <w:color w:val="000000"/>
          <w:sz w:val="24"/>
          <w:szCs w:val="24"/>
          <w:shd w:fill="auto" w:val="clear"/>
          <w:vertAlign w:val="baseline"/>
        </w:rPr>
      </w:pP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Gastos varios/operativos: $109.675 (internet, insumos, entrega).</w:t>
      </w:r>
      <w:r>
        <w:rPr>
          <w:rtl w:val="0"/>
        </w:rPr>
      </w:r>
    </w:p>
    <w:p w:rsidR="00000000" w:rsidDel="00000000" w:rsidP="00000000" w:rsidRDefault="00000000" w:rsidRPr="00000000" w14:paraId="000000D8">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Se proponen las siguientes alternativas de modalidad de inversión, a confirmar con el equipo y/o la institución:</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b w:val="0"/>
          <w:bCs w:val="0"/>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Aporte igualitario entre integrantes: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cada miembro del equipo aporta una parte proporcional del costo real de componentes y gastos varios (no del costo de personal, que es horas de trabajo, no dinero).</w:t>
      </w:r>
      <w:r>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b w:val="0"/>
          <w:bCs w:val="0"/>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Financiamiento institucional: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un sponsor cubre la compra de componentes, y el proyecto queda como propiedad institucional al finalizar.</w:t>
      </w:r>
      <w:r>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b w:val="0"/>
          <w:bCs w:val="0"/>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Mixta: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aporte inicial del equipo para el Bloque A (arranque de la Etapa 4) y gestión de financiamiento externo para los Bloques C y D (los más caros), una vez confirmada la medición del telar.</w:t>
      </w:r>
      <w:r>
        <w:rPr>
          <w:rtl w:val="0"/>
        </w:rPr>
      </w:r>
    </w:p>
    <w:p w:rsidR="00000000" w:rsidDel="00000000" w:rsidP="00000000" w:rsidRDefault="00000000" w:rsidRPr="00000000" w14:paraId="000000DC">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La recuperación de la inversión (si aplica) se referencia contra el presupuesto final con margen, no contra el costo puro: la diferencia entre ambos es, justamente, la ganancia calculada.</w:t>
      </w:r>
    </w:p>
    <w:p w:rsidR="00000000" w:rsidDel="00000000" w:rsidP="00000000" w:rsidRDefault="00000000" w:rsidRPr="00000000" w14:paraId="000000DD">
      <w:pPr>
        <w:pStyle w:val="Heading1"/>
        <w:spacing w:after="200" w:before="400" w:lineRule="auto"/>
        <w:rPr>
          <w:rFonts w:ascii="Questrial" w:cs="Questrial" w:eastAsia="Questrial" w:hAnsi="Questrial"/>
          <w:sz w:val="38"/>
          <w:szCs w:val="38"/>
        </w:rPr>
      </w:pPr>
      <w:r>
        <w:rPr>
          <w:rtl w:val="0"/>
        </w:rPr>
      </w:r>
    </w:p>
    <w:p w:rsidR="00000000" w:rsidDel="00000000" w:rsidP="00000000" w:rsidRDefault="00000000" w:rsidRPr="00000000" w14:paraId="000000DE">
      <w:pPr>
        <w:pStyle w:val="Heading1"/>
        <w:spacing w:after="200" w:before="400" w:lineRule="auto"/>
        <w:rPr>
          <w:rFonts w:ascii="Questrial" w:cs="Questrial" w:eastAsia="Questrial" w:hAnsi="Questrial"/>
          <w:color w:val="1E3A5F"/>
          <w:sz w:val="38"/>
          <w:szCs w:val="38"/>
        </w:rPr>
      </w:pPr>
      <w:r>
        <w:rPr>
          <w:rFonts w:ascii="Questrial" w:cs="Questrial" w:eastAsia="Questrial" w:hAnsi="Questrial"/>
          <w:color w:val="1E3A5F"/>
          <w:sz w:val="38"/>
          <w:szCs w:val="38"/>
          <w:rtl w:val="0"/>
        </w:rPr>
        <w:t xml:space="preserve">5. Contrato y garantía</w:t>
      </w:r>
    </w:p>
    <w:p w:rsidR="00000000" w:rsidDel="00000000" w:rsidP="00000000" w:rsidRDefault="00000000" w:rsidRPr="00000000" w14:paraId="000000DF">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La Documentación de Proyecto ya define Objetivo, Alcance, Plazos, Responsabilidades, Criterios de aceptación y Condiciones de modificación. Ese apartado no incluye una cláusula de Garantía, así que este documento la agrega como complemento. No se incluyen datos personales de integrantes, clientes ni terceros, ni se desarrolla el marco de la Ley de Protección de Datos Personales, por decisión del equipo.</w:t>
      </w:r>
    </w:p>
    <w:p w:rsidR="00000000" w:rsidDel="00000000" w:rsidP="00000000" w:rsidRDefault="00000000" w:rsidRPr="00000000" w14:paraId="000000E0">
      <w:pPr>
        <w:pStyle w:val="Heading2"/>
        <w:spacing w:after="150" w:before="300" w:lineRule="auto"/>
        <w:rPr>
          <w:rFonts w:ascii="Questrial" w:cs="Questrial" w:eastAsia="Questrial" w:hAnsi="Questrial"/>
          <w:color w:val="1E3A5F"/>
          <w:sz w:val="30"/>
          <w:szCs w:val="30"/>
        </w:rPr>
      </w:pPr>
      <w:r>
        <w:rPr>
          <w:rFonts w:ascii="Questrial" w:cs="Questrial" w:eastAsia="Questrial" w:hAnsi="Questrial"/>
          <w:color w:val="1E3A5F"/>
          <w:sz w:val="30"/>
          <w:szCs w:val="30"/>
          <w:rtl w:val="0"/>
        </w:rPr>
        <w:t xml:space="preserve">5.1 Garantía propuesta</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BM Plex Sans" w:cs="IBM Plex Sans" w:eastAsia="IBM Plex Sans" w:hAnsi="IBM Plex Sans"/>
          <w:b w:val="0"/>
          <w:bCs w:val="0"/>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Alcance: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cubre el nodo ESP32 con su etapa de potencia y protecciones, el firmware cargado, y la integración con la base de datos PostgreSQL (Neon) y la interfaz web, tal como se entregan al aprobar el criterio de aceptación (prueba de 48 horas continuas).</w:t>
      </w:r>
      <w:r>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BM Plex Sans" w:cs="IBM Plex Sans" w:eastAsia="IBM Plex Sans" w:hAnsi="IBM Plex Sans"/>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BM Plex Sans" w:cs="IBM Plex Sans" w:eastAsia="IBM Plex Sans" w:hAnsi="IBM Plex Sans"/>
          <w:b w:val="0"/>
          <w:bCs w:val="0"/>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Exclusiones: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mal uso, modificaciones no autorizadas del sistema, intervención sobre la estructura de engranajes o motores del telar (explícitamente fuera del alcance), y fallas de fábrica en componentes de terceros (cubiertas, en su caso, por la garantía del fabricante/vendedor original de cada componente).</w:t>
      </w:r>
      <w:r>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BM Plex Sans" w:cs="IBM Plex Sans" w:eastAsia="IBM Plex Sans" w:hAnsi="IBM Plex Sans"/>
          <w:b w:val="0"/>
          <w:bCs w:val="0"/>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Vigencia: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de uno a tres meses desde la aceptación, en línea con el cierre de proyecto previsto para el 14/11/2026. El plazo exacto dentro de ese rango se define con la cátedra al momento de la entrega final, tal como se indica en la Conclusión.</w:t>
      </w:r>
      <w:r>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IBM Plex Sans" w:cs="IBM Plex Sans" w:eastAsia="IBM Plex Sans" w:hAnsi="IBM Plex Sans"/>
          <w:b w:val="0"/>
          <w:bCs w:val="0"/>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Soporte posterior: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corrección de errores de software/firmware durante la vigencia de la garantía; coincide con la primera de las "Oportunidades de Negocio" (abono mensual de soporte técnico posterior al piloto).</w:t>
      </w:r>
      <w:r>
        <w:rPr>
          <w:rtl w:val="0"/>
        </w:rPr>
      </w:r>
    </w:p>
    <w:p w:rsidR="00000000" w:rsidDel="00000000" w:rsidP="00000000" w:rsidRDefault="00000000" w:rsidRPr="00000000" w14:paraId="000000E6">
      <w:pPr>
        <w:spacing w:after="200" w:lineRule="auto"/>
        <w:rPr>
          <w:rFonts w:ascii="IBM Plex Sans" w:cs="IBM Plex Sans" w:eastAsia="IBM Plex Sans" w:hAnsi="IBM Plex Sans"/>
          <w:sz w:val="24"/>
          <w:szCs w:val="24"/>
        </w:rPr>
      </w:pPr>
      <w:r>
        <w:rPr>
          <w:rtl w:val="0"/>
        </w:rPr>
      </w:r>
    </w:p>
    <w:p w:rsidR="00000000" w:rsidDel="00000000" w:rsidP="00000000" w:rsidRDefault="00000000" w:rsidRPr="00000000" w14:paraId="000000E7">
      <w:pPr>
        <w:pStyle w:val="Heading1"/>
        <w:spacing w:after="200" w:before="400" w:lineRule="auto"/>
        <w:rPr>
          <w:rFonts w:ascii="Questrial" w:cs="Questrial" w:eastAsia="Questrial" w:hAnsi="Questrial"/>
          <w:color w:val="1E3A5F"/>
          <w:sz w:val="38"/>
          <w:szCs w:val="38"/>
        </w:rPr>
      </w:pPr>
      <w:r>
        <w:rPr>
          <w:rFonts w:ascii="Questrial" w:cs="Questrial" w:eastAsia="Questrial" w:hAnsi="Questrial"/>
          <w:color w:val="1E3A5F"/>
          <w:sz w:val="38"/>
          <w:szCs w:val="38"/>
          <w:rtl w:val="0"/>
        </w:rPr>
        <w:t xml:space="preserve">6. Servicio de mantenimiento y vida útil</w:t>
      </w:r>
    </w:p>
    <w:p w:rsidR="00000000" w:rsidDel="00000000" w:rsidP="00000000" w:rsidRDefault="00000000" w:rsidRPr="00000000" w14:paraId="000000E8">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Además de la garantía (Sección 5), se propone un servicio de mantenimiento pago que extiende la relación con el cliente más allá de la entrega. Es la principal vía de ingreso recurrente del proyecto: a diferencia de la venta única del sistema, un abono genera facturación mes a mes.</w:t>
      </w:r>
    </w:p>
    <w:p w:rsidR="00000000" w:rsidDel="00000000" w:rsidP="00000000" w:rsidRDefault="00000000" w:rsidRPr="00000000" w14:paraId="000000E9">
      <w:pPr>
        <w:pStyle w:val="Heading2"/>
        <w:spacing w:after="150" w:before="300" w:lineRule="auto"/>
        <w:rPr>
          <w:rFonts w:ascii="Questrial" w:cs="Questrial" w:eastAsia="Questrial" w:hAnsi="Questrial"/>
          <w:color w:val="1E3A5F"/>
          <w:sz w:val="30"/>
          <w:szCs w:val="30"/>
        </w:rPr>
      </w:pPr>
      <w:r>
        <w:rPr>
          <w:rFonts w:ascii="Questrial" w:cs="Questrial" w:eastAsia="Questrial" w:hAnsi="Questrial"/>
          <w:color w:val="1E3A5F"/>
          <w:sz w:val="30"/>
          <w:szCs w:val="30"/>
          <w:rtl w:val="0"/>
        </w:rPr>
        <w:t xml:space="preserve">6.1 Vida útil de los componentes</w:t>
      </w:r>
    </w:p>
    <w:p w:rsidR="00000000" w:rsidDel="00000000" w:rsidP="00000000" w:rsidRDefault="00000000" w:rsidRPr="00000000" w14:paraId="000000EA">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Los valores de vida útil que siguen provienen de las hojas de datos de los fabricantes y son estimaciones estándar de la industria, no mediciones sobre este telar en particular. La vida real depende del uso: un telar que arranca y para muchas veces por turno desgasta los relés más rápido que uno de marcha continua.</w:t>
      </w:r>
    </w:p>
    <w:p w:rsidR="00000000" w:rsidDel="00000000" w:rsidP="00000000" w:rsidRDefault="00000000" w:rsidRPr="00000000" w14:paraId="000000EB">
      <w:pPr>
        <w:spacing w:after="150" w:lineRule="auto"/>
        <w:rPr>
          <w:rFonts w:ascii="IBM Plex Sans" w:cs="IBM Plex Sans" w:eastAsia="IBM Plex Sans" w:hAnsi="IBM Plex Sans"/>
          <w:sz w:val="24"/>
          <w:szCs w:val="24"/>
        </w:rPr>
      </w:pPr>
      <w:r>
        <w:rPr>
          <w:rtl w:val="0"/>
        </w:rPr>
      </w:r>
    </w:p>
    <w:tbl>
      <w:tblPr>
        <w:tblStyle w:val="Table5"/>
        <w:tblW w:w="14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6120"/>
        <w:gridCol w:w="4605"/>
        <w:tblGridChange w:id="0">
          <w:tblGrid>
            <w:gridCol w:w="3690"/>
            <w:gridCol w:w="6120"/>
            <w:gridCol w:w="4605"/>
          </w:tblGrid>
        </w:tblGridChange>
      </w:tblGrid>
      <w:tr>
        <w:trPr>
          <w:cantSplit w:val="0"/>
          <w:trHeight w:val="360" w:hRule="atLeast"/>
          <w:tblHeader w:val="0"/>
        </w:trPr>
        <w:tc>
          <w:tcPr>
            <w:tcBorders>
              <w:top w:color="1E3A5F" w:space="0" w:sz="8" w:val="single"/>
              <w:left w:color="1E3A5F" w:space="0" w:sz="8" w:val="single"/>
              <w:bottom w:color="1E3A5F" w:space="0" w:sz="8" w:val="single"/>
              <w:right w:color="1E3A5F" w:space="0" w:sz="8" w:val="single"/>
            </w:tcBorders>
            <w:shd w:fill="1E3A5F" w:val="clear"/>
            <w:tcMar>
              <w:top w:w="0.0" w:type="dxa"/>
              <w:left w:w="100.0" w:type="dxa"/>
              <w:bottom w:w="0.0" w:type="dxa"/>
              <w:right w:w="100.0" w:type="dxa"/>
            </w:tcMar>
            <w:vAlign w:val="top"/>
          </w:tcPr>
          <w:p w:rsidR="00000000" w:rsidDel="00000000" w:rsidP="00000000" w:rsidRDefault="00000000" w:rsidRPr="00000000" w14:paraId="000000EC">
            <w:pPr>
              <w:jc w:val="center"/>
              <w:rPr>
                <w:rFonts w:ascii="IBM Plex Sans" w:cs="IBM Plex Sans" w:eastAsia="IBM Plex Sans" w:hAnsi="IBM Plex Sans"/>
                <w:b w:val="1"/>
                <w:bCs w:val="1"/>
                <w:color w:val="ffffff"/>
                <w:sz w:val="28"/>
                <w:szCs w:val="28"/>
              </w:rPr>
            </w:pPr>
            <w:r>
              <w:rPr>
                <w:rFonts w:ascii="IBM Plex Sans" w:cs="IBM Plex Sans" w:eastAsia="IBM Plex Sans" w:hAnsi="IBM Plex Sans"/>
                <w:b w:val="1"/>
                <w:bCs w:val="1"/>
                <w:color w:val="ffffff"/>
                <w:sz w:val="28"/>
                <w:szCs w:val="28"/>
                <w:rtl w:val="0"/>
              </w:rPr>
              <w:t xml:space="preserve">Componente</w:t>
            </w:r>
          </w:p>
        </w:tc>
        <w:tc>
          <w:tcPr>
            <w:tcBorders>
              <w:top w:color="1E3A5F" w:space="0" w:sz="8" w:val="single"/>
              <w:left w:color="1E3A5F" w:space="0" w:sz="8" w:val="single"/>
              <w:bottom w:color="1E3A5F" w:space="0" w:sz="8" w:val="single"/>
              <w:right w:color="1E3A5F" w:space="0" w:sz="8" w:val="single"/>
            </w:tcBorders>
            <w:shd w:fill="1E3A5F" w:val="clear"/>
            <w:tcMar>
              <w:top w:w="0.0" w:type="dxa"/>
              <w:left w:w="100.0" w:type="dxa"/>
              <w:bottom w:w="0.0" w:type="dxa"/>
              <w:right w:w="100.0" w:type="dxa"/>
            </w:tcMar>
            <w:vAlign w:val="top"/>
          </w:tcPr>
          <w:p w:rsidR="00000000" w:rsidDel="00000000" w:rsidP="00000000" w:rsidRDefault="00000000" w:rsidRPr="00000000" w14:paraId="000000ED">
            <w:pPr>
              <w:jc w:val="center"/>
              <w:rPr>
                <w:rFonts w:ascii="IBM Plex Sans" w:cs="IBM Plex Sans" w:eastAsia="IBM Plex Sans" w:hAnsi="IBM Plex Sans"/>
                <w:b w:val="1"/>
                <w:bCs w:val="1"/>
                <w:color w:val="ffffff"/>
                <w:sz w:val="28"/>
                <w:szCs w:val="28"/>
              </w:rPr>
            </w:pPr>
            <w:r>
              <w:rPr>
                <w:rFonts w:ascii="IBM Plex Sans" w:cs="IBM Plex Sans" w:eastAsia="IBM Plex Sans" w:hAnsi="IBM Plex Sans"/>
                <w:b w:val="1"/>
                <w:bCs w:val="1"/>
                <w:color w:val="ffffff"/>
                <w:sz w:val="28"/>
                <w:szCs w:val="28"/>
                <w:rtl w:val="0"/>
              </w:rPr>
              <w:t xml:space="preserve">Vida útil estimada</w:t>
            </w:r>
          </w:p>
        </w:tc>
        <w:tc>
          <w:tcPr>
            <w:tcBorders>
              <w:top w:color="1E3A5F" w:space="0" w:sz="8" w:val="single"/>
              <w:left w:color="1E3A5F" w:space="0" w:sz="8" w:val="single"/>
              <w:bottom w:color="1E3A5F" w:space="0" w:sz="8" w:val="single"/>
              <w:right w:color="1E3A5F" w:space="0" w:sz="8" w:val="single"/>
            </w:tcBorders>
            <w:shd w:fill="1E3A5F" w:val="clear"/>
            <w:tcMar>
              <w:top w:w="0.0" w:type="dxa"/>
              <w:left w:w="100.0" w:type="dxa"/>
              <w:bottom w:w="0.0" w:type="dxa"/>
              <w:right w:w="100.0" w:type="dxa"/>
            </w:tcMar>
            <w:vAlign w:val="top"/>
          </w:tcPr>
          <w:p w:rsidR="00000000" w:rsidDel="00000000" w:rsidP="00000000" w:rsidRDefault="00000000" w:rsidRPr="00000000" w14:paraId="000000EE">
            <w:pPr>
              <w:jc w:val="center"/>
              <w:rPr>
                <w:rFonts w:ascii="IBM Plex Sans" w:cs="IBM Plex Sans" w:eastAsia="IBM Plex Sans" w:hAnsi="IBM Plex Sans"/>
                <w:b w:val="1"/>
                <w:bCs w:val="1"/>
                <w:color w:val="ffffff"/>
                <w:sz w:val="28"/>
                <w:szCs w:val="28"/>
              </w:rPr>
            </w:pPr>
            <w:r>
              <w:rPr>
                <w:rFonts w:ascii="IBM Plex Sans" w:cs="IBM Plex Sans" w:eastAsia="IBM Plex Sans" w:hAnsi="IBM Plex Sans"/>
                <w:b w:val="1"/>
                <w:bCs w:val="1"/>
                <w:color w:val="ffffff"/>
                <w:sz w:val="28"/>
                <w:szCs w:val="28"/>
                <w:rtl w:val="0"/>
              </w:rPr>
              <w:t xml:space="preserve">Qué hacer</w:t>
            </w:r>
          </w:p>
        </w:tc>
      </w:tr>
      <w:tr>
        <w:trPr>
          <w:cantSplit w:val="0"/>
          <w:trHeight w:val="1275" w:hRule="atLeast"/>
          <w:tblHeader w:val="0"/>
        </w:trPr>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0EF">
            <w:pPr>
              <w:rPr>
                <w:rFonts w:ascii="IBM Plex Sans" w:cs="IBM Plex Sans" w:eastAsia="IBM Plex Sans" w:hAnsi="IBM Plex Sans"/>
                <w:b w:val="1"/>
                <w:bCs w:val="1"/>
                <w:sz w:val="24"/>
                <w:szCs w:val="24"/>
              </w:rPr>
            </w:pPr>
            <w:r>
              <w:rPr>
                <w:rFonts w:ascii="IBM Plex Sans" w:cs="IBM Plex Sans" w:eastAsia="IBM Plex Sans" w:hAnsi="IBM Plex Sans"/>
                <w:b w:val="1"/>
                <w:bCs w:val="1"/>
                <w:sz w:val="24"/>
                <w:szCs w:val="24"/>
                <w:rtl w:val="0"/>
              </w:rPr>
              <w:t xml:space="preserve">Módulo de relés (3 canales: uno de 2 y uno individual)</w:t>
            </w:r>
          </w:p>
        </w:tc>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~100.000</w:t>
            </w:r>
            <w:r>
              <w:rPr>
                <w:rFonts w:ascii="IBM Plex Sans" w:cs="IBM Plex Sans" w:eastAsia="IBM Plex Sans" w:hAnsi="IBM Plex Sans"/>
                <w:sz w:val="24"/>
                <w:szCs w:val="24"/>
                <w:rtl w:val="0"/>
              </w:rPr>
              <w:t xml:space="preserve"> maniobras con carga (vida eléctrica del relé Songle SRD-05VDC; la mecánica, sin carga, es de 10 millones). A 20 arranques/pausas</w:t>
            </w:r>
            <w:r>
              <w:rPr>
                <w:rFonts w:ascii="IBM Plex Sans" w:cs="IBM Plex Sans" w:eastAsia="IBM Plex Sans" w:hAnsi="IBM Plex Sans"/>
                <w:sz w:val="24"/>
                <w:szCs w:val="24"/>
                <w:rtl w:val="0"/>
              </w:rPr>
              <w:t xml:space="preserve"> por turno ≈ 10 años</w:t>
            </w:r>
          </w:p>
        </w:tc>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Reemplazo</w:t>
            </w:r>
            <w:r>
              <w:rPr>
                <w:rFonts w:ascii="IBM Plex Sans" w:cs="IBM Plex Sans" w:eastAsia="IBM Plex Sans" w:hAnsi="IBM Plex Sans"/>
                <w:sz w:val="24"/>
                <w:szCs w:val="24"/>
                <w:rtl w:val="0"/>
              </w:rPr>
              <w:t xml:space="preserve"> preventivo si se escucha el clic irregular o falla algún canal</w:t>
            </w:r>
          </w:p>
        </w:tc>
      </w:tr>
      <w:tr>
        <w:trPr>
          <w:cantSplit w:val="0"/>
          <w:trHeight w:val="1185" w:hRule="atLeast"/>
          <w:tblHeader w:val="0"/>
        </w:trPr>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0F5">
            <w:pPr>
              <w:rPr>
                <w:rFonts w:ascii="IBM Plex Sans" w:cs="IBM Plex Sans" w:eastAsia="IBM Plex Sans" w:hAnsi="IBM Plex Sans"/>
                <w:b w:val="1"/>
                <w:bCs w:val="1"/>
                <w:sz w:val="24"/>
                <w:szCs w:val="24"/>
              </w:rPr>
            </w:pPr>
            <w:r>
              <w:rPr>
                <w:rFonts w:ascii="IBM Plex Sans" w:cs="IBM Plex Sans" w:eastAsia="IBM Plex Sans" w:hAnsi="IBM Plex Sans"/>
                <w:b w:val="1"/>
                <w:bCs w:val="1"/>
                <w:sz w:val="24"/>
                <w:szCs w:val="24"/>
                <w:rtl w:val="0"/>
              </w:rPr>
              <w:t xml:space="preserve">Fuente HLK-5M05</w:t>
            </w:r>
          </w:p>
        </w:tc>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Vida típica de</w:t>
            </w:r>
            <w:r>
              <w:rPr>
                <w:rFonts w:ascii="IBM Plex Sans" w:cs="IBM Plex Sans" w:eastAsia="IBM Plex Sans" w:hAnsi="IBM Plex Sans"/>
                <w:sz w:val="24"/>
                <w:szCs w:val="24"/>
                <w:rtl w:val="0"/>
              </w:rPr>
              <w:t xml:space="preserve"> fuente conmutada: 5-8 años en uso continuo. Los capacitores internos son lo</w:t>
            </w:r>
            <w:r>
              <w:rPr>
                <w:rFonts w:ascii="IBM Plex Sans" w:cs="IBM Plex Sans" w:eastAsia="IBM Plex Sans" w:hAnsi="IBM Plex Sans"/>
                <w:sz w:val="24"/>
                <w:szCs w:val="24"/>
                <w:rtl w:val="0"/>
              </w:rPr>
              <w:t xml:space="preserve"> primero que se degrada</w:t>
            </w:r>
          </w:p>
        </w:tc>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Medir la salida</w:t>
            </w:r>
            <w:r>
              <w:rPr>
                <w:rFonts w:ascii="IBM Plex Sans" w:cs="IBM Plex Sans" w:eastAsia="IBM Plex Sans" w:hAnsi="IBM Plex Sans"/>
                <w:sz w:val="24"/>
                <w:szCs w:val="24"/>
                <w:rtl w:val="0"/>
              </w:rPr>
              <w:t xml:space="preserve"> (debe dar 5 V estables). Cambiar si baja de 4,75 V o fluctúa</w:t>
            </w:r>
          </w:p>
        </w:tc>
      </w:tr>
      <w:tr>
        <w:trPr>
          <w:cantSplit w:val="0"/>
          <w:trHeight w:val="675" w:hRule="atLeast"/>
          <w:tblHeader w:val="0"/>
        </w:trPr>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0FB">
            <w:pPr>
              <w:rPr>
                <w:rFonts w:ascii="IBM Plex Sans" w:cs="IBM Plex Sans" w:eastAsia="IBM Plex Sans" w:hAnsi="IBM Plex Sans"/>
                <w:b w:val="1"/>
                <w:bCs w:val="1"/>
                <w:sz w:val="24"/>
                <w:szCs w:val="24"/>
              </w:rPr>
            </w:pPr>
            <w:r>
              <w:rPr>
                <w:rFonts w:ascii="IBM Plex Sans" w:cs="IBM Plex Sans" w:eastAsia="IBM Plex Sans" w:hAnsi="IBM Plex Sans"/>
                <w:b w:val="1"/>
                <w:bCs w:val="1"/>
                <w:sz w:val="24"/>
                <w:szCs w:val="24"/>
                <w:rtl w:val="0"/>
              </w:rPr>
              <w:t xml:space="preserve">ESP32</w:t>
            </w:r>
          </w:p>
        </w:tc>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Sin partes</w:t>
            </w:r>
            <w:r>
              <w:rPr>
                <w:rFonts w:ascii="IBM Plex Sans" w:cs="IBM Plex Sans" w:eastAsia="IBM Plex Sans" w:hAnsi="IBM Plex Sans"/>
                <w:sz w:val="24"/>
                <w:szCs w:val="24"/>
                <w:rtl w:val="0"/>
              </w:rPr>
              <w:t xml:space="preserve"> móviles: &gt;10 años si se mantiene fresco y seco dentro del gabinete</w:t>
            </w:r>
          </w:p>
        </w:tc>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Solo se reemplaza</w:t>
            </w:r>
            <w:r>
              <w:rPr>
                <w:rFonts w:ascii="IBM Plex Sans" w:cs="IBM Plex Sans" w:eastAsia="IBM Plex Sans" w:hAnsi="IBM Plex Sans"/>
                <w:sz w:val="24"/>
                <w:szCs w:val="24"/>
                <w:rtl w:val="0"/>
              </w:rPr>
              <w:t xml:space="preserve"> ante falla; el riesgo real es humedad o calor, no desgaste</w:t>
            </w:r>
          </w:p>
        </w:tc>
      </w:tr>
      <w:tr>
        <w:trPr>
          <w:cantSplit w:val="0"/>
          <w:trHeight w:val="915" w:hRule="atLeast"/>
          <w:tblHeader w:val="0"/>
        </w:trPr>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100">
            <w:pPr>
              <w:rPr>
                <w:rFonts w:ascii="IBM Plex Sans" w:cs="IBM Plex Sans" w:eastAsia="IBM Plex Sans" w:hAnsi="IBM Plex Sans"/>
                <w:b w:val="1"/>
                <w:bCs w:val="1"/>
                <w:sz w:val="24"/>
                <w:szCs w:val="24"/>
              </w:rPr>
            </w:pPr>
            <w:r>
              <w:rPr>
                <w:rFonts w:ascii="IBM Plex Sans" w:cs="IBM Plex Sans" w:eastAsia="IBM Plex Sans" w:hAnsi="IBM Plex Sans"/>
                <w:b w:val="1"/>
                <w:bCs w:val="1"/>
                <w:sz w:val="24"/>
                <w:szCs w:val="24"/>
                <w:rtl w:val="0"/>
              </w:rPr>
              <w:t xml:space="preserve">Optoacopladores PC817</w:t>
            </w:r>
          </w:p>
        </w:tc>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~10 años (el LED</w:t>
            </w:r>
            <w:r>
              <w:rPr>
                <w:rFonts w:ascii="IBM Plex Sans" w:cs="IBM Plex Sans" w:eastAsia="IBM Plex Sans" w:hAnsi="IBM Plex Sans"/>
                <w:sz w:val="24"/>
                <w:szCs w:val="24"/>
                <w:rtl w:val="0"/>
              </w:rPr>
              <w:t xml:space="preserve"> interno pierde brillo muy lentamente)</w:t>
            </w:r>
          </w:p>
        </w:tc>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Reemplazar si el</w:t>
            </w:r>
            <w:r>
              <w:rPr>
                <w:rFonts w:ascii="IBM Plex Sans" w:cs="IBM Plex Sans" w:eastAsia="IBM Plex Sans" w:hAnsi="IBM Plex Sans"/>
                <w:sz w:val="24"/>
                <w:szCs w:val="24"/>
                <w:rtl w:val="0"/>
              </w:rPr>
              <w:t xml:space="preserve"> sensado empieza a fallar de forma intermitente</w:t>
            </w:r>
          </w:p>
        </w:tc>
      </w:tr>
      <w:tr>
        <w:trPr>
          <w:cantSplit w:val="0"/>
          <w:trHeight w:val="825" w:hRule="atLeast"/>
          <w:tblHeader w:val="0"/>
        </w:trPr>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105">
            <w:pPr>
              <w:rPr>
                <w:rFonts w:ascii="IBM Plex Sans" w:cs="IBM Plex Sans" w:eastAsia="IBM Plex Sans" w:hAnsi="IBM Plex Sans"/>
                <w:b w:val="1"/>
                <w:bCs w:val="1"/>
                <w:sz w:val="24"/>
                <w:szCs w:val="24"/>
              </w:rPr>
            </w:pPr>
            <w:r>
              <w:rPr>
                <w:rFonts w:ascii="IBM Plex Sans" w:cs="IBM Plex Sans" w:eastAsia="IBM Plex Sans" w:hAnsi="IBM Plex Sans"/>
                <w:b w:val="1"/>
                <w:bCs w:val="1"/>
                <w:sz w:val="24"/>
                <w:szCs w:val="24"/>
                <w:rtl w:val="0"/>
              </w:rPr>
              <w:t xml:space="preserve">Sensor inductivo (Bloque C)</w:t>
            </w:r>
          </w:p>
        </w:tc>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Sin contacto</w:t>
            </w:r>
            <w:r>
              <w:rPr>
                <w:rFonts w:ascii="IBM Plex Sans" w:cs="IBM Plex Sans" w:eastAsia="IBM Plex Sans" w:hAnsi="IBM Plex Sans"/>
                <w:sz w:val="24"/>
                <w:szCs w:val="24"/>
                <w:rtl w:val="0"/>
              </w:rPr>
              <w:t xml:space="preserve"> físico: muy larga, &gt;10 años. Lo que falla suele ser el cable, no el sensor</w:t>
            </w:r>
          </w:p>
        </w:tc>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Revisar el cable</w:t>
            </w:r>
            <w:r>
              <w:rPr>
                <w:rFonts w:ascii="IBM Plex Sans" w:cs="IBM Plex Sans" w:eastAsia="IBM Plex Sans" w:hAnsi="IBM Plex Sans"/>
                <w:sz w:val="24"/>
                <w:szCs w:val="24"/>
                <w:rtl w:val="0"/>
              </w:rPr>
              <w:t xml:space="preserve"> y la fijación, no el sensor</w:t>
            </w:r>
          </w:p>
        </w:tc>
      </w:tr>
      <w:tr>
        <w:trPr>
          <w:cantSplit w:val="0"/>
          <w:trHeight w:val="855" w:hRule="atLeast"/>
          <w:tblHeader w:val="0"/>
        </w:trPr>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pPr>
              <w:rPr>
                <w:rFonts w:ascii="IBM Plex Sans" w:cs="IBM Plex Sans" w:eastAsia="IBM Plex Sans" w:hAnsi="IBM Plex Sans"/>
                <w:b w:val="1"/>
                <w:bCs w:val="1"/>
                <w:sz w:val="24"/>
                <w:szCs w:val="24"/>
              </w:rPr>
            </w:pPr>
            <w:r>
              <w:rPr>
                <w:rFonts w:ascii="IBM Plex Sans" w:cs="IBM Plex Sans" w:eastAsia="IBM Plex Sans" w:hAnsi="IBM Plex Sans"/>
                <w:b w:val="1"/>
                <w:bCs w:val="1"/>
                <w:sz w:val="24"/>
                <w:szCs w:val="24"/>
                <w:rtl w:val="0"/>
              </w:rPr>
              <w:t xml:space="preserve">Relés LCA110 (Bloque D)</w:t>
            </w:r>
          </w:p>
        </w:tc>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Sin contactos ni partes móviles: muy larga. Lo que falla suele ser una soldadura o un error de cableado</w:t>
            </w:r>
          </w:p>
        </w:tc>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Van en zócalo: se cambian en segundos. Tener uno de repuesto</w:t>
            </w:r>
          </w:p>
        </w:tc>
      </w:tr>
      <w:tr>
        <w:trPr>
          <w:cantSplit w:val="0"/>
          <w:trHeight w:val="1020" w:hRule="atLeast"/>
          <w:tblHeader w:val="0"/>
        </w:trPr>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10F">
            <w:pPr>
              <w:rPr>
                <w:rFonts w:ascii="IBM Plex Sans" w:cs="IBM Plex Sans" w:eastAsia="IBM Plex Sans" w:hAnsi="IBM Plex Sans"/>
                <w:b w:val="1"/>
                <w:bCs w:val="1"/>
                <w:sz w:val="24"/>
                <w:szCs w:val="24"/>
              </w:rPr>
            </w:pPr>
            <w:r>
              <w:rPr>
                <w:rFonts w:ascii="IBM Plex Sans" w:cs="IBM Plex Sans" w:eastAsia="IBM Plex Sans" w:hAnsi="IBM Plex Sans"/>
                <w:b w:val="1"/>
                <w:bCs w:val="1"/>
                <w:sz w:val="24"/>
                <w:szCs w:val="24"/>
                <w:rtl w:val="0"/>
              </w:rPr>
              <w:t xml:space="preserve">Cable de control y prensacables</w:t>
            </w:r>
          </w:p>
        </w:tc>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5-10 años, pero</w:t>
            </w:r>
            <w:r>
              <w:rPr>
                <w:rFonts w:ascii="IBM Plex Sans" w:cs="IBM Plex Sans" w:eastAsia="IBM Plex Sans" w:hAnsi="IBM Plex Sans"/>
                <w:sz w:val="24"/>
                <w:szCs w:val="24"/>
                <w:rtl w:val="0"/>
              </w:rPr>
              <w:t xml:space="preserve"> en ambiente textil el enemigo es la pelusa y la vibración</w:t>
            </w:r>
          </w:p>
        </w:tc>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Inspección visual</w:t>
            </w:r>
            <w:r>
              <w:rPr>
                <w:rFonts w:ascii="IBM Plex Sans" w:cs="IBM Plex Sans" w:eastAsia="IBM Plex Sans" w:hAnsi="IBM Plex Sans"/>
                <w:sz w:val="24"/>
                <w:szCs w:val="24"/>
                <w:rtl w:val="0"/>
              </w:rPr>
              <w:t xml:space="preserve"> en cada visita: cable rozado, prensacable flojo</w:t>
            </w:r>
          </w:p>
        </w:tc>
      </w:tr>
      <w:tr>
        <w:trPr>
          <w:cantSplit w:val="0"/>
          <w:trHeight w:val="645" w:hRule="atLeast"/>
          <w:tblHeader w:val="0"/>
        </w:trPr>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114">
            <w:pPr>
              <w:rPr>
                <w:rFonts w:ascii="IBM Plex Sans" w:cs="IBM Plex Sans" w:eastAsia="IBM Plex Sans" w:hAnsi="IBM Plex Sans"/>
                <w:b w:val="1"/>
                <w:bCs w:val="1"/>
                <w:sz w:val="24"/>
                <w:szCs w:val="24"/>
              </w:rPr>
            </w:pPr>
            <w:r>
              <w:rPr>
                <w:rFonts w:ascii="IBM Plex Sans" w:cs="IBM Plex Sans" w:eastAsia="IBM Plex Sans" w:hAnsi="IBM Plex Sans"/>
                <w:b w:val="1"/>
                <w:bCs w:val="1"/>
                <w:sz w:val="24"/>
                <w:szCs w:val="24"/>
                <w:rtl w:val="0"/>
              </w:rPr>
              <w:t xml:space="preserve">Fusible 1A</w:t>
            </w:r>
          </w:p>
        </w:tc>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Es un consumible:</w:t>
            </w:r>
            <w:r>
              <w:rPr>
                <w:rFonts w:ascii="IBM Plex Sans" w:cs="IBM Plex Sans" w:eastAsia="IBM Plex Sans" w:hAnsi="IBM Plex Sans"/>
                <w:sz w:val="24"/>
                <w:szCs w:val="24"/>
                <w:rtl w:val="0"/>
              </w:rPr>
              <w:t xml:space="preserve"> dura hasta que actúa</w:t>
            </w:r>
          </w:p>
        </w:tc>
        <w:tc>
          <w:tcPr>
            <w:tcBorders>
              <w:top w:color="1E3A5F" w:space="0" w:sz="8" w:val="single"/>
              <w:left w:color="1E3A5F" w:space="0" w:sz="8" w:val="single"/>
              <w:bottom w:color="1E3A5F" w:space="0" w:sz="8" w:val="single"/>
              <w:right w:color="1E3A5F" w:space="0" w:sz="8" w:val="single"/>
            </w:tcBorders>
            <w:tcMar>
              <w:top w:w="0.0" w:type="dxa"/>
              <w:left w:w="100.0" w:type="dxa"/>
              <w:bottom w:w="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Tener siempre 2-3</w:t>
            </w:r>
            <w:r>
              <w:rPr>
                <w:rFonts w:ascii="IBM Plex Sans" w:cs="IBM Plex Sans" w:eastAsia="IBM Plex Sans" w:hAnsi="IBM Plex Sans"/>
                <w:sz w:val="24"/>
                <w:szCs w:val="24"/>
                <w:rtl w:val="0"/>
              </w:rPr>
              <w:t xml:space="preserve"> de repuesto en la fábrica</w:t>
            </w:r>
          </w:p>
        </w:tc>
      </w:tr>
    </w:tbl>
    <w:p w:rsidR="00000000" w:rsidDel="00000000" w:rsidP="00000000" w:rsidRDefault="00000000" w:rsidRPr="00000000" w14:paraId="00000119">
      <w:pPr>
        <w:spacing w:after="150" w:lineRule="auto"/>
        <w:rPr>
          <w:rFonts w:ascii="IBM Plex Sans" w:cs="IBM Plex Sans" w:eastAsia="IBM Plex Sans" w:hAnsi="IBM Plex Sans"/>
          <w:sz w:val="24"/>
          <w:szCs w:val="24"/>
        </w:rPr>
      </w:pPr>
      <w:r>
        <w:rPr>
          <w:rtl w:val="0"/>
        </w:rPr>
      </w:r>
    </w:p>
    <w:p w:rsidR="00000000" w:rsidDel="00000000" w:rsidP="00000000" w:rsidRDefault="00000000" w:rsidRPr="00000000" w14:paraId="0000011A">
      <w:pPr>
        <w:pStyle w:val="Heading2"/>
        <w:spacing w:after="150" w:lineRule="auto" w:before="300"/>
        <w:rPr>
          <w:rFonts w:ascii="IBM Plex Sans" w:cs="IBM Plex Sans" w:eastAsia="IBM Plex Sans" w:hAnsi="IBM Plex Sans"/>
          <w:color w:val="1E3A5F"/>
          <w:sz w:val="30"/>
          <w:szCs w:val="30"/>
        </w:rPr>
      </w:pPr>
      <w:r>
        <w:rPr>
          <w:rFonts w:ascii="Questrial" w:cs="IBM Plex Sans" w:eastAsia="IBM Plex Sans" w:hAnsi="Questrial"/>
          <w:color w:val="1E3A5F"/>
          <w:sz w:val="30"/>
          <w:szCs w:val="30"/>
          <w:rtl w:val="0"/>
        </w:rPr>
        <w:t>6.2 Mantenimiento del software</w:t>
      </w:r>
    </w:p>
    <w:p w:rsidR="00000000" w:rsidDel="00000000" w:rsidP="00000000" w:rsidRDefault="00000000" w:rsidRPr="00000000" w14:paraId="0000011B">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El software no se desgasta, pero sí se rompe por causas externas. Estos son los mantenimientos que necesita, con su frecuencia:</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BM Plex Sans" w:cs="IBM Plex Sans" w:eastAsia="IBM Plex Sans" w:hAnsi="IBM Plex Sans"/>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Dependencias y seguridad (cada 6 meses):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las librerías de Node.js publican parches de seguridad. Sin actualizarlas, el backend queda expuesto con el tiempo.</w:t>
      </w:r>
      <w:r>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BM Plex Sans" w:cs="IBM Plex Sans" w:eastAsia="IBM Plex Sans" w:hAnsi="IBM Plex Sans"/>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Plataformas externas (continuo):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el proyecto depende de Neon (base de datos) y Render (servidor). Ambos cambian condiciones, planes y versiones. El plan Free de Render, además, duerme el servicio tras 15 minutos de inactividad.</w:t>
      </w:r>
      <w:r>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BM Plex Sans" w:cs="IBM Plex Sans" w:eastAsia="IBM Plex Sans" w:hAnsi="IBM Plex Sans"/>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Backups de la base (mensual):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hoy los patrones y el historial viven solo en Neon. Conviene exportar una copia periódica.</w:t>
      </w:r>
      <w:r>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BM Plex Sans" w:cs="IBM Plex Sans" w:eastAsia="IBM Plex Sans" w:hAnsi="IBM Plex Sans"/>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Certificado y credenciales (anual):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revisar accesos, contraseñas de la base y del WiFi de la fábrica.</w:t>
      </w:r>
      <w:r>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BM Plex Sans" w:cs="IBM Plex Sans" w:eastAsia="IBM Plex Sans" w:hAnsi="IBM Plex Sans"/>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Ajustes por cambios del telar:</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si la fábrica cambia el patrón de trabajo, agrega un telar o modifica la botonera, el firmware y la web necesitan adaptarse.</w:t>
      </w:r>
      <w:r>
        <w:rPr>
          <w:rtl w:val="0"/>
        </w:rPr>
      </w:r>
    </w:p>
    <w:p w:rsidR="00000000" w:rsidDel="00000000" w:rsidP="00000000" w:rsidRDefault="00000000" w:rsidRPr="00000000" w14:paraId="00000121">
      <w:pPr>
        <w:pStyle w:val="Heading2"/>
        <w:spacing w:after="150" w:before="300" w:lineRule="auto"/>
        <w:rPr>
          <w:rFonts w:ascii="Questrial" w:cs="Questrial" w:eastAsia="Questrial" w:hAnsi="Questrial"/>
          <w:color w:val="1E3A5F"/>
          <w:sz w:val="30"/>
          <w:szCs w:val="30"/>
        </w:rPr>
      </w:pPr>
      <w:r>
        <w:rPr>
          <w:rFonts w:ascii="Questrial" w:cs="Questrial" w:eastAsia="Questrial" w:hAnsi="Questrial"/>
          <w:color w:val="1E3A5F"/>
          <w:sz w:val="30"/>
          <w:szCs w:val="30"/>
          <w:rtl w:val="0"/>
        </w:rPr>
        <w:t xml:space="preserve">6.3 Planes de servicio propuestos</w:t>
      </w:r>
    </w:p>
    <w:p w:rsidR="00000000" w:rsidDel="00000000" w:rsidP="00000000" w:rsidRDefault="00000000" w:rsidRPr="00000000" w14:paraId="00000122">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Los precios de abajo NO son una cotización cerrada: son un cálculo de referencia usando las mismas tarifas horarias que el resto de este documento (Electrónica $48.800/h, Desarrollo $51.850/h, PM $45.750/h) más el mismo margen del 25%. El equipo debe ajustarlos según lo que decida cobrar y lo que el cliente esté dispuesto a pagar.</w:t>
      </w:r>
    </w:p>
    <w:p w:rsidR="00000000" w:rsidDel="00000000" w:rsidP="00000000" w:rsidRDefault="00000000" w:rsidRPr="00000000" w14:paraId="00000123">
      <w:pPr>
        <w:spacing w:after="150" w:lineRule="auto"/>
        <w:rPr>
          <w:rFonts w:ascii="IBM Plex Sans" w:cs="IBM Plex Sans" w:eastAsia="IBM Plex Sans" w:hAnsi="IBM Plex Sans"/>
          <w:sz w:val="24"/>
          <w:szCs w:val="24"/>
        </w:rPr>
      </w:pPr>
      <w:r>
        <w:rPr>
          <w:rtl w:val="0"/>
        </w:rPr>
      </w:r>
    </w:p>
    <w:tbl>
      <w:tblPr>
        <w:tblStyle w:val="Table6"/>
        <w:tblW w:w="15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300"/>
        <w:gridCol w:w="3315"/>
        <w:gridCol w:w="3015"/>
        <w:tblGridChange w:id="0">
          <w:tblGrid>
            <w:gridCol w:w="2400"/>
            <w:gridCol w:w="6300"/>
            <w:gridCol w:w="3315"/>
            <w:gridCol w:w="3015"/>
          </w:tblGrid>
        </w:tblGridChange>
      </w:tblGrid>
      <w:tr>
        <w:trPr>
          <w:cantSplit w:val="0"/>
          <w:trHeight w:val="705" w:hRule="atLeast"/>
          <w:tblHeader w:val="0"/>
        </w:trPr>
        <w:tc>
          <w:tcPr>
            <w:tcBorders>
              <w:top w:color="1E3A5F" w:space="0" w:sz="8" w:val="single"/>
              <w:left w:color="1E3A5F" w:space="0" w:sz="8" w:val="single"/>
              <w:bottom w:color="1E3A5F" w:space="0" w:sz="8" w:val="single"/>
              <w:right w:color="000000" w:space="0" w:sz="0" w:val="nil"/>
            </w:tcBorders>
            <w:shd w:fill="1E3A5F" w:val="clear"/>
            <w:tcMar>
              <w:top w:w="0.0" w:type="dxa"/>
              <w:left w:w="100.0" w:type="dxa"/>
              <w:bottom w:w="0.0" w:type="dxa"/>
              <w:right w:w="100.0" w:type="dxa"/>
            </w:tcMar>
            <w:vAlign w:val="top"/>
          </w:tcPr>
          <w:p w:rsidR="00000000" w:rsidDel="00000000" w:rsidP="00000000" w:rsidRDefault="00000000" w:rsidRPr="00000000" w14:paraId="00000124">
            <w:pPr>
              <w:spacing w:line="276" w:lineRule="auto"/>
              <w:jc w:val="center"/>
              <w:rPr>
                <w:rFonts w:ascii="IBM Plex Sans" w:cs="IBM Plex Sans" w:eastAsia="IBM Plex Sans" w:hAnsi="IBM Plex Sans"/>
                <w:b w:val="1"/>
                <w:bCs w:val="1"/>
                <w:color w:val="ffffff"/>
                <w:sz w:val="28"/>
                <w:szCs w:val="28"/>
              </w:rPr>
            </w:pPr>
            <w:r>
              <w:rPr>
                <w:rFonts w:ascii="IBM Plex Sans" w:cs="IBM Plex Sans" w:eastAsia="IBM Plex Sans" w:hAnsi="IBM Plex Sans"/>
                <w:b w:val="1"/>
                <w:bCs w:val="1"/>
                <w:color w:val="ffffff"/>
                <w:sz w:val="28"/>
                <w:szCs w:val="28"/>
                <w:rtl w:val="0"/>
              </w:rPr>
              <w:t xml:space="preserve">Plan</w:t>
            </w:r>
          </w:p>
        </w:tc>
        <w:tc>
          <w:tcPr>
            <w:tcBorders>
              <w:top w:color="1E3A5F" w:space="0" w:sz="8" w:val="single"/>
              <w:left w:color="000000" w:space="0" w:sz="0" w:val="nil"/>
              <w:bottom w:color="1E3A5F" w:space="0" w:sz="8" w:val="single"/>
              <w:right w:color="000000" w:space="0" w:sz="0" w:val="nil"/>
            </w:tcBorders>
            <w:shd w:fill="1E3A5F" w:val="clear"/>
            <w:tcMar>
              <w:top w:w="0.0" w:type="dxa"/>
              <w:left w:w="100.0" w:type="dxa"/>
              <w:bottom w:w="0.0" w:type="dxa"/>
              <w:right w:w="100.0" w:type="dxa"/>
            </w:tcMar>
            <w:vAlign w:val="top"/>
          </w:tcPr>
          <w:p w:rsidR="00000000" w:rsidDel="00000000" w:rsidP="00000000" w:rsidRDefault="00000000" w:rsidRPr="00000000" w14:paraId="00000125">
            <w:pPr>
              <w:spacing w:line="276" w:lineRule="auto"/>
              <w:jc w:val="center"/>
              <w:rPr>
                <w:rFonts w:ascii="IBM Plex Sans" w:cs="IBM Plex Sans" w:eastAsia="IBM Plex Sans" w:hAnsi="IBM Plex Sans"/>
                <w:b w:val="1"/>
                <w:bCs w:val="1"/>
                <w:color w:val="ffffff"/>
                <w:sz w:val="28"/>
                <w:szCs w:val="28"/>
              </w:rPr>
            </w:pPr>
            <w:r>
              <w:rPr>
                <w:rFonts w:ascii="IBM Plex Sans" w:cs="IBM Plex Sans" w:eastAsia="IBM Plex Sans" w:hAnsi="IBM Plex Sans"/>
                <w:b w:val="1"/>
                <w:bCs w:val="1"/>
                <w:color w:val="ffffff"/>
                <w:sz w:val="28"/>
                <w:szCs w:val="28"/>
                <w:rtl w:val="0"/>
              </w:rPr>
              <w:t xml:space="preserve">Qué incluye</w:t>
            </w:r>
          </w:p>
        </w:tc>
        <w:tc>
          <w:tcPr>
            <w:tcBorders>
              <w:top w:color="1E3A5F" w:space="0" w:sz="8" w:val="single"/>
              <w:left w:color="000000" w:space="0" w:sz="0" w:val="nil"/>
              <w:bottom w:color="1E3A5F" w:space="0" w:sz="8" w:val="single"/>
              <w:right w:color="000000" w:space="0" w:sz="0" w:val="nil"/>
            </w:tcBorders>
            <w:shd w:fill="1E3A5F" w:val="clear"/>
            <w:tcMar>
              <w:top w:w="0.0" w:type="dxa"/>
              <w:left w:w="100.0" w:type="dxa"/>
              <w:bottom w:w="0.0" w:type="dxa"/>
              <w:right w:w="100.0" w:type="dxa"/>
            </w:tcMar>
            <w:vAlign w:val="top"/>
          </w:tcPr>
          <w:p w:rsidR="00000000" w:rsidDel="00000000" w:rsidP="00000000" w:rsidRDefault="00000000" w:rsidRPr="00000000" w14:paraId="00000126">
            <w:pPr>
              <w:spacing w:line="276" w:lineRule="auto"/>
              <w:jc w:val="center"/>
              <w:rPr>
                <w:rFonts w:ascii="IBM Plex Sans" w:cs="IBM Plex Sans" w:eastAsia="IBM Plex Sans" w:hAnsi="IBM Plex Sans"/>
                <w:b w:val="1"/>
                <w:bCs w:val="1"/>
                <w:color w:val="ffffff"/>
                <w:sz w:val="28"/>
                <w:szCs w:val="28"/>
              </w:rPr>
            </w:pPr>
            <w:r>
              <w:rPr>
                <w:rFonts w:ascii="IBM Plex Sans" w:cs="IBM Plex Sans" w:eastAsia="IBM Plex Sans" w:hAnsi="IBM Plex Sans"/>
                <w:b w:val="1"/>
                <w:bCs w:val="1"/>
                <w:color w:val="ffffff"/>
                <w:sz w:val="28"/>
                <w:szCs w:val="28"/>
                <w:rtl w:val="0"/>
              </w:rPr>
              <w:t xml:space="preserve">Frecuencia</w:t>
            </w:r>
          </w:p>
        </w:tc>
        <w:tc>
          <w:tcPr>
            <w:tcBorders>
              <w:top w:color="1E3A5F" w:space="0" w:sz="8" w:val="single"/>
              <w:left w:color="000000" w:space="0" w:sz="0" w:val="nil"/>
              <w:bottom w:color="1E3A5F" w:space="0" w:sz="8" w:val="single"/>
              <w:right w:color="1E3A5F" w:space="0" w:sz="8" w:val="single"/>
            </w:tcBorders>
            <w:shd w:fill="1E3A5F" w:val="clear"/>
            <w:tcMar>
              <w:top w:w="0.0" w:type="dxa"/>
              <w:left w:w="100.0" w:type="dxa"/>
              <w:bottom w:w="0.0" w:type="dxa"/>
              <w:right w:w="100.0" w:type="dxa"/>
            </w:tcMar>
            <w:vAlign w:val="top"/>
          </w:tcPr>
          <w:p w:rsidR="00000000" w:rsidDel="00000000" w:rsidP="00000000" w:rsidRDefault="00000000" w:rsidRPr="00000000" w14:paraId="00000127">
            <w:pPr>
              <w:spacing w:line="276" w:lineRule="auto"/>
              <w:jc w:val="center"/>
              <w:rPr>
                <w:rFonts w:ascii="IBM Plex Sans" w:cs="IBM Plex Sans" w:eastAsia="IBM Plex Sans" w:hAnsi="IBM Plex Sans"/>
                <w:b w:val="1"/>
                <w:bCs w:val="1"/>
                <w:color w:val="ffffff"/>
                <w:sz w:val="28"/>
                <w:szCs w:val="28"/>
              </w:rPr>
            </w:pPr>
            <w:r>
              <w:rPr>
                <w:rFonts w:ascii="IBM Plex Sans" w:cs="IBM Plex Sans" w:eastAsia="IBM Plex Sans" w:hAnsi="IBM Plex Sans"/>
                <w:b w:val="1"/>
                <w:bCs w:val="1"/>
                <w:color w:val="ffffff"/>
                <w:sz w:val="28"/>
                <w:szCs w:val="28"/>
                <w:rtl w:val="0"/>
              </w:rPr>
              <w:t xml:space="preserve">Precio de referencia</w:t>
            </w:r>
          </w:p>
        </w:tc>
      </w:tr>
      <w:tr>
        <w:trPr>
          <w:cantSplit w:val="0"/>
          <w:trHeight w:val="1335" w:hRule="atLeast"/>
          <w:tblHeader w:val="0"/>
        </w:trPr>
        <w:tc>
          <w:tcPr>
            <w:tcBorders>
              <w:top w:color="1E3A5F" w:space="0" w:sz="8" w:val="single"/>
              <w:left w:color="1E3A5F" w:space="0" w:sz="8" w:val="single"/>
              <w:bottom w:color="1E3A5F" w:space="0" w:sz="8" w:val="single"/>
              <w:right w:color="1E3A5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8">
            <w:pPr>
              <w:spacing w:line="276" w:lineRule="auto"/>
              <w:rPr>
                <w:rFonts w:ascii="IBM Plex Sans" w:cs="IBM Plex Sans" w:eastAsia="IBM Plex Sans" w:hAnsi="IBM Plex Sans"/>
                <w:b w:val="1"/>
                <w:bCs w:val="1"/>
                <w:sz w:val="24"/>
                <w:szCs w:val="24"/>
              </w:rPr>
            </w:pPr>
            <w:r>
              <w:rPr>
                <w:rFonts w:ascii="IBM Plex Sans" w:cs="IBM Plex Sans" w:eastAsia="IBM Plex Sans" w:hAnsi="IBM Plex Sans"/>
                <w:b w:val="1"/>
                <w:bCs w:val="1"/>
                <w:sz w:val="24"/>
                <w:szCs w:val="24"/>
                <w:rtl w:val="0"/>
              </w:rPr>
              <w:t xml:space="preserve">Básico, solo software</w:t>
            </w:r>
          </w:p>
        </w:tc>
        <w:tc>
          <w:tcPr>
            <w:tcBorders>
              <w:top w:color="1E3A5F" w:space="0" w:sz="8" w:val="single"/>
              <w:left w:color="1E3A5F" w:space="0" w:sz="8" w:val="single"/>
              <w:bottom w:color="1E3A5F" w:space="0" w:sz="8" w:val="single"/>
              <w:right w:color="1E3A5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9">
            <w:pPr>
              <w:spacing w:line="276"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Actualización de dependencias y parches de seguridad, monitoreo del backend, backup mensual de la base y corrección de errores de software/firmware.</w:t>
            </w:r>
          </w:p>
        </w:tc>
        <w:tc>
          <w:tcPr>
            <w:tcBorders>
              <w:top w:color="1E3A5F" w:space="0" w:sz="8" w:val="single"/>
              <w:left w:color="1E3A5F" w:space="0" w:sz="8" w:val="single"/>
              <w:bottom w:color="1E3A5F" w:space="0" w:sz="8" w:val="single"/>
              <w:right w:color="1E3A5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A">
            <w:pPr>
              <w:spacing w:line="276"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Abono mensual (2 h/mes de desarrollo)</w:t>
            </w:r>
          </w:p>
        </w:tc>
        <w:tc>
          <w:tcPr>
            <w:tcBorders>
              <w:top w:color="1E3A5F" w:space="0" w:sz="8" w:val="single"/>
              <w:left w:color="1E3A5F" w:space="0" w:sz="8" w:val="single"/>
              <w:bottom w:color="1E3A5F" w:space="0" w:sz="8" w:val="single"/>
              <w:right w:color="1E3A5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B">
            <w:pPr>
              <w:spacing w:line="276"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$129.625 / mes</w:t>
            </w:r>
          </w:p>
        </w:tc>
      </w:tr>
      <w:tr>
        <w:trPr>
          <w:cantSplit w:val="0"/>
          <w:trHeight w:val="1785" w:hRule="atLeast"/>
          <w:tblHeader w:val="0"/>
        </w:trPr>
        <w:tc>
          <w:tcPr>
            <w:tcBorders>
              <w:top w:color="1E3A5F" w:space="0" w:sz="8" w:val="single"/>
              <w:left w:color="1E3A5F" w:space="0" w:sz="8" w:val="single"/>
              <w:bottom w:color="1E3A5F" w:space="0" w:sz="8" w:val="single"/>
              <w:right w:color="1E3A5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C">
            <w:pPr>
              <w:spacing w:line="276" w:lineRule="auto"/>
              <w:rPr>
                <w:rFonts w:ascii="IBM Plex Sans" w:cs="IBM Plex Sans" w:eastAsia="IBM Plex Sans" w:hAnsi="IBM Plex Sans"/>
                <w:b w:val="1"/>
                <w:bCs w:val="1"/>
                <w:sz w:val="24"/>
                <w:szCs w:val="24"/>
              </w:rPr>
            </w:pPr>
            <w:r>
              <w:rPr>
                <w:rFonts w:ascii="IBM Plex Sans" w:cs="IBM Plex Sans" w:eastAsia="IBM Plex Sans" w:hAnsi="IBM Plex Sans"/>
                <w:b w:val="1"/>
                <w:bCs w:val="1"/>
                <w:sz w:val="24"/>
                <w:szCs w:val="24"/>
                <w:rtl w:val="0"/>
              </w:rPr>
              <w:t xml:space="preserve">Completo, software + visita</w:t>
            </w:r>
          </w:p>
        </w:tc>
        <w:tc>
          <w:tcPr>
            <w:tcBorders>
              <w:top w:color="1E3A5F" w:space="0" w:sz="8" w:val="single"/>
              <w:left w:color="1E3A5F" w:space="0" w:sz="8" w:val="single"/>
              <w:bottom w:color="1E3A5F" w:space="0" w:sz="8" w:val="single"/>
              <w:right w:color="1E3A5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D">
            <w:pPr>
              <w:spacing w:line="276"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Todo lo del plan Básico, más una visita presencial de inspección: revisión del gabinete y la pelusa acumulada, medición de la fuente, prueba de los 3 relés y del sensado, revisión de cables y prensacables.</w:t>
            </w:r>
          </w:p>
        </w:tc>
        <w:tc>
          <w:tcPr>
            <w:tcBorders>
              <w:top w:color="1E3A5F" w:space="0" w:sz="8" w:val="single"/>
              <w:left w:color="1E3A5F" w:space="0" w:sz="8" w:val="single"/>
              <w:bottom w:color="1E3A5F" w:space="0" w:sz="8" w:val="single"/>
              <w:right w:color="1E3A5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E">
            <w:pPr>
              <w:spacing w:line="276"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Abono mensual + 2 visitas al año</w:t>
            </w:r>
          </w:p>
        </w:tc>
        <w:tc>
          <w:tcPr>
            <w:tcBorders>
              <w:top w:color="1E3A5F" w:space="0" w:sz="8" w:val="single"/>
              <w:left w:color="1E3A5F" w:space="0" w:sz="8" w:val="single"/>
              <w:bottom w:color="1E3A5F" w:space="0" w:sz="8" w:val="single"/>
              <w:right w:color="1E3A5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F">
            <w:pPr>
              <w:spacing w:line="276"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$129.625 / mes + $240.188 por visita</w:t>
            </w:r>
          </w:p>
        </w:tc>
      </w:tr>
      <w:tr>
        <w:trPr>
          <w:cantSplit w:val="0"/>
          <w:trHeight w:val="870" w:hRule="atLeast"/>
          <w:tblHeader w:val="0"/>
        </w:trPr>
        <w:tc>
          <w:tcPr>
            <w:tcBorders>
              <w:top w:color="1E3A5F" w:space="0" w:sz="8" w:val="single"/>
              <w:left w:color="1E3A5F" w:space="0" w:sz="8" w:val="single"/>
              <w:bottom w:color="1E3A5F" w:space="0" w:sz="8" w:val="single"/>
              <w:right w:color="1E3A5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0">
            <w:pPr>
              <w:spacing w:line="276" w:lineRule="auto"/>
              <w:rPr>
                <w:rFonts w:ascii="IBM Plex Sans" w:cs="IBM Plex Sans" w:eastAsia="IBM Plex Sans" w:hAnsi="IBM Plex Sans"/>
                <w:b w:val="1"/>
                <w:bCs w:val="1"/>
                <w:sz w:val="24"/>
                <w:szCs w:val="24"/>
              </w:rPr>
            </w:pPr>
            <w:r>
              <w:rPr>
                <w:rFonts w:ascii="IBM Plex Sans" w:cs="IBM Plex Sans" w:eastAsia="IBM Plex Sans" w:hAnsi="IBM Plex Sans"/>
                <w:b w:val="1"/>
                <w:bCs w:val="1"/>
                <w:sz w:val="24"/>
                <w:szCs w:val="24"/>
                <w:rtl w:val="0"/>
              </w:rPr>
              <w:t xml:space="preserve">Por incidente (sin abono)</w:t>
            </w:r>
          </w:p>
        </w:tc>
        <w:tc>
          <w:tcPr>
            <w:tcBorders>
              <w:top w:color="1E3A5F" w:space="0" w:sz="8" w:val="single"/>
              <w:left w:color="1E3A5F" w:space="0" w:sz="8" w:val="single"/>
              <w:bottom w:color="1E3A5F" w:space="0" w:sz="8" w:val="single"/>
              <w:right w:color="1E3A5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1">
            <w:pPr>
              <w:spacing w:line="276"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Atención puntual ante una falla, sin contrato mensual. Sin prioridad de respuesta ni prevención.</w:t>
            </w:r>
          </w:p>
        </w:tc>
        <w:tc>
          <w:tcPr>
            <w:tcBorders>
              <w:top w:color="1E3A5F" w:space="0" w:sz="8" w:val="single"/>
              <w:left w:color="1E3A5F" w:space="0" w:sz="8" w:val="single"/>
              <w:bottom w:color="1E3A5F" w:space="0" w:sz="8" w:val="single"/>
              <w:right w:color="1E3A5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2">
            <w:pPr>
              <w:spacing w:line="276"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A demanda</w:t>
            </w:r>
          </w:p>
        </w:tc>
        <w:tc>
          <w:tcPr>
            <w:tcBorders>
              <w:top w:color="1E3A5F" w:space="0" w:sz="8" w:val="single"/>
              <w:left w:color="1E3A5F" w:space="0" w:sz="8" w:val="single"/>
              <w:bottom w:color="1E3A5F" w:space="0" w:sz="8" w:val="single"/>
              <w:right w:color="1E3A5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3">
            <w:pPr>
              <w:spacing w:line="276"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$240.188 por intervención (mínimo 4 h)</w:t>
            </w:r>
          </w:p>
        </w:tc>
      </w:tr>
      <w:tr>
        <w:trPr>
          <w:cantSplit w:val="0"/>
          <w:trHeight w:val="1395" w:hRule="atLeast"/>
          <w:tblHeader w:val="0"/>
        </w:trPr>
        <w:tc>
          <w:tcPr>
            <w:tcBorders>
              <w:top w:color="1E3A5F" w:space="0" w:sz="8" w:val="single"/>
              <w:left w:color="1E3A5F" w:space="0" w:sz="8" w:val="single"/>
              <w:bottom w:color="1E3A5F" w:space="0" w:sz="8" w:val="single"/>
              <w:right w:color="1E3A5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4">
            <w:pPr>
              <w:spacing w:line="276" w:lineRule="auto"/>
              <w:rPr>
                <w:rFonts w:ascii="IBM Plex Sans" w:cs="IBM Plex Sans" w:eastAsia="IBM Plex Sans" w:hAnsi="IBM Plex Sans"/>
                <w:b w:val="1"/>
                <w:bCs w:val="1"/>
                <w:sz w:val="24"/>
                <w:szCs w:val="24"/>
              </w:rPr>
            </w:pPr>
            <w:r>
              <w:rPr>
                <w:rFonts w:ascii="IBM Plex Sans" w:cs="IBM Plex Sans" w:eastAsia="IBM Plex Sans" w:hAnsi="IBM Plex Sans"/>
                <w:b w:val="1"/>
                <w:bCs w:val="1"/>
                <w:sz w:val="24"/>
                <w:szCs w:val="24"/>
                <w:rtl w:val="0"/>
              </w:rPr>
              <w:t xml:space="preserve">Repuestos</w:t>
            </w:r>
          </w:p>
        </w:tc>
        <w:tc>
          <w:tcPr>
            <w:tcBorders>
              <w:top w:color="1E3A5F" w:space="0" w:sz="8" w:val="single"/>
              <w:left w:color="1E3A5F" w:space="0" w:sz="8" w:val="single"/>
              <w:bottom w:color="1E3A5F" w:space="0" w:sz="8" w:val="single"/>
              <w:right w:color="1E3A5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5">
            <w:pPr>
              <w:spacing w:line="276"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No incluidos en ningún plan: se facturan aparte al costo del componente. Referencia: módulos de relé $5.000 · fuente HLK-5M05 $7.000 · ESP32 $12.203 · fusibles ~$800.</w:t>
            </w:r>
          </w:p>
        </w:tc>
        <w:tc>
          <w:tcPr>
            <w:tcBorders>
              <w:top w:color="1E3A5F" w:space="0" w:sz="8" w:val="single"/>
              <w:left w:color="1E3A5F" w:space="0" w:sz="8" w:val="single"/>
              <w:bottom w:color="1E3A5F" w:space="0" w:sz="8" w:val="single"/>
              <w:right w:color="1E3A5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6">
            <w:pPr>
              <w:spacing w:line="276"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Según necesidad</w:t>
            </w:r>
          </w:p>
        </w:tc>
        <w:tc>
          <w:tcPr>
            <w:tcBorders>
              <w:top w:color="1E3A5F" w:space="0" w:sz="8" w:val="single"/>
              <w:left w:color="1E3A5F" w:space="0" w:sz="8" w:val="single"/>
              <w:bottom w:color="1E3A5F" w:space="0" w:sz="8" w:val="single"/>
              <w:right w:color="1E3A5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7">
            <w:pPr>
              <w:spacing w:line="276"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Al costo + mano de obra</w:t>
            </w:r>
          </w:p>
        </w:tc>
      </w:tr>
    </w:tbl>
    <w:p w:rsidR="00000000" w:rsidDel="00000000" w:rsidP="00000000" w:rsidRDefault="00000000" w:rsidRPr="00000000" w14:paraId="00000138">
      <w:pPr>
        <w:spacing w:after="150" w:lineRule="auto"/>
        <w:rPr>
          <w:rFonts w:ascii="IBM Plex Sans" w:cs="IBM Plex Sans" w:eastAsia="IBM Plex Sans" w:hAnsi="IBM Plex Sans"/>
          <w:sz w:val="24"/>
          <w:szCs w:val="24"/>
        </w:rPr>
      </w:pPr>
      <w:r>
        <w:rPr>
          <w:rtl w:val="0"/>
        </w:rPr>
      </w:r>
    </w:p>
    <w:p w:rsidR="00000000" w:rsidDel="00000000" w:rsidP="00000000" w:rsidRDefault="00000000" w:rsidRPr="00000000" w14:paraId="00000139">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Por qué importa este servicio: el sistema se vende una sola vez ($37.053.629 con margen), pero el plan Completo factura $1.555.500 al año en abonos más $480.376 en visitas, o sea unos $2.035.876 anuales por cliente. Con el sistema ya desarrollado, cada telar adicional que se sume al servicio es casi todo ganancia, y es lo que sostendría el proyecto una vez terminada la etapa escolar.</w:t>
      </w:r>
    </w:p>
    <w:p w:rsidR="00000000" w:rsidDel="00000000" w:rsidP="00000000" w:rsidRDefault="00000000" w:rsidRPr="00000000" w14:paraId="0000013A">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Diferencia con la garantía: la garantía (Sección 5) es gratuita, dura de 1 a 3 meses y solo cubre que lo entregado funcione como se acordó. El mantenimiento es pago, arranca cuando termina la garantía y cubre el desgaste normal, la evolución del software y los cambios que pida la fábrica.</w:t>
      </w:r>
    </w:p>
    <w:p w:rsidR="00000000" w:rsidDel="00000000" w:rsidP="00000000" w:rsidRDefault="00000000" w:rsidRPr="00000000" w14:paraId="0000013B">
      <w:pPr>
        <w:pStyle w:val="Heading2"/>
        <w:spacing w:after="150" w:before="300" w:lineRule="auto"/>
        <w:rPr>
          <w:rFonts w:ascii="Questrial" w:cs="Questrial" w:eastAsia="Questrial" w:hAnsi="Questrial"/>
          <w:color w:val="1E3A5F"/>
          <w:sz w:val="30"/>
          <w:szCs w:val="30"/>
        </w:rPr>
      </w:pPr>
      <w:r>
        <w:rPr>
          <w:rFonts w:ascii="Questrial" w:cs="Questrial" w:eastAsia="Questrial" w:hAnsi="Questrial"/>
          <w:color w:val="1E3A5F"/>
          <w:sz w:val="30"/>
          <w:szCs w:val="30"/>
          <w:rtl w:val="0"/>
        </w:rPr>
        <w:t xml:space="preserve">6.4 Respaldo y recuperación de datos</w:t>
      </w:r>
    </w:p>
    <w:p w:rsidR="00000000" w:rsidDel="00000000" w:rsidP="00000000" w:rsidRDefault="00000000" w:rsidRPr="00000000" w14:paraId="0000013C">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Todo lo que produce el sistema (los patrones dibujados, el historial de producción y los usuarios registrados) vive únicamente en la base de datos alojada en Neon. Si esa base se pierde o alguien borra un patrón por error, no hay forma de recuperarlo sin un respaldo. Este es, hoy, el punto más frágil del proyecto: el hardware se puede volver a comprar y el código está versionado en GitHub, pero los datos no tienen copia.</w:t>
      </w:r>
    </w:p>
    <w:p w:rsidR="00000000" w:rsidDel="00000000" w:rsidP="00000000" w:rsidRDefault="00000000" w:rsidRPr="00000000" w14:paraId="0000013D">
      <w:pPr>
        <w:pStyle w:val="Heading2"/>
        <w:spacing w:after="150" w:before="300" w:lineRule="auto"/>
        <w:rPr>
          <w:rFonts w:ascii="Questrial" w:cs="Questrial" w:eastAsia="Questrial" w:hAnsi="Questrial"/>
          <w:color w:val="1E3A5F"/>
          <w:sz w:val="30"/>
          <w:szCs w:val="30"/>
        </w:rPr>
      </w:pPr>
      <w:r>
        <w:rPr>
          <w:rFonts w:ascii="Questrial" w:cs="Questrial" w:eastAsia="Questrial" w:hAnsi="Questrial"/>
          <w:color w:val="1E3A5F"/>
          <w:sz w:val="30"/>
          <w:szCs w:val="30"/>
          <w:rtl w:val="0"/>
        </w:rPr>
        <w:t xml:space="preserve">6.4.1 Lo que ya cubre Neon (sin costo adicional)</w:t>
      </w:r>
    </w:p>
    <w:p w:rsidR="00000000" w:rsidDel="00000000" w:rsidP="00000000" w:rsidRDefault="00000000" w:rsidRPr="00000000" w14:paraId="0000013E">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Neon guarda un registro continuo de cambios que permite "rebobinar" la base a un momento anterior (instant restore o point-in-time restore). En el plan gratuito que usa el proyecto, esa ventana es de 6 horas y está limitada a 1 GB de cambios. Alcanza para revertir un error detectado el mismo día -por ejemplo, si alguien borra un patrón y se da cuenta en el momento, pero no protege contra nada que se descubra al día siguiente, ni contra la pérdida de la cuenta entera.</w:t>
      </w:r>
    </w:p>
    <w:p w:rsidR="00000000" w:rsidDel="00000000" w:rsidP="00000000" w:rsidRDefault="00000000" w:rsidRPr="00000000" w14:paraId="0000013F">
      <w:pPr>
        <w:pStyle w:val="Heading2"/>
        <w:spacing w:after="150" w:before="300" w:lineRule="auto"/>
        <w:rPr>
          <w:rFonts w:ascii="Questrial" w:cs="Questrial" w:eastAsia="Questrial" w:hAnsi="Questrial"/>
          <w:color w:val="1E3A5F"/>
          <w:sz w:val="30"/>
          <w:szCs w:val="30"/>
        </w:rPr>
      </w:pPr>
      <w:r>
        <w:rPr>
          <w:rFonts w:ascii="Questrial" w:cs="Questrial" w:eastAsia="Questrial" w:hAnsi="Questrial"/>
          <w:color w:val="1E3A5F"/>
          <w:sz w:val="30"/>
          <w:szCs w:val="30"/>
          <w:rtl w:val="0"/>
        </w:rPr>
        <w:t xml:space="preserve">6.4.2 Estrategia de respaldo propuesta</w:t>
      </w:r>
    </w:p>
    <w:p w:rsidR="00000000" w:rsidDel="00000000" w:rsidP="00000000" w:rsidRDefault="00000000" w:rsidRPr="00000000" w14:paraId="00000140">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Para cubrir lo que Neon no alcanza, se propone un esquema en tres capas, ordenado de menor a mayor esfuerzo de implementación:</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BM Plex Sans" w:cs="IBM Plex Sans" w:eastAsia="IBM Plex Sans" w:hAnsi="IBM Plex Sans"/>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Capa 1, Restauración instantánea de Neon (ya activa):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ventana de 6 horas. Cubre el error humano detectado en el momento. No requiere ninguna acción del equipo.</w:t>
      </w:r>
      <w:r>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BM Plex Sans" w:cs="IBM Plex Sans" w:eastAsia="IBM Plex Sans" w:hAnsi="IBM Plex Sans"/>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Capa 2, Respaldo automático diario a un repositorio externo: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una tarea programada de GitHub Actions que ejecuta pg_dump contra la base todas las noches y guarda el archivo comprimido. GitHub Actions ofrece minutos gratuitos en repositorios públicos, y un volcado de esta base pesa muy poco (son patrones e historial, no archivos pesados), por lo que el almacenamiento tampoco representa un costo. Es la capa que realmente protege el proyecto y la que conviene implementar antes de la entrega final.</w:t>
      </w:r>
      <w:r>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BM Plex Sans" w:cs="IBM Plex Sans" w:eastAsia="IBM Plex Sans" w:hAnsi="IBM Plex Sans"/>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Capa 3, Copia manual antes de cada cambio importante: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exportar la base a mano desde el panel de Neon antes de correr una migración nueva o de una demostración. Es la red de seguridad para los momentos de mayor riesgo, y no cuesta nada más que un par de minutos.</w:t>
      </w:r>
      <w:r>
        <w:rPr>
          <w:rtl w:val="0"/>
        </w:rPr>
      </w:r>
    </w:p>
    <w:p w:rsidR="00000000" w:rsidDel="00000000" w:rsidP="00000000" w:rsidRDefault="00000000" w:rsidRPr="00000000" w14:paraId="00000144">
      <w:pPr>
        <w:pStyle w:val="Heading2"/>
        <w:spacing w:after="150" w:before="300" w:lineRule="auto"/>
        <w:rPr>
          <w:rFonts w:ascii="Questrial" w:cs="Questrial" w:eastAsia="Questrial" w:hAnsi="Questrial"/>
          <w:color w:val="1E3A5F"/>
          <w:sz w:val="30"/>
          <w:szCs w:val="30"/>
        </w:rPr>
      </w:pPr>
      <w:r>
        <w:rPr>
          <w:rFonts w:ascii="Questrial" w:cs="Questrial" w:eastAsia="Questrial" w:hAnsi="Questrial"/>
          <w:color w:val="1E3A5F"/>
          <w:sz w:val="30"/>
          <w:szCs w:val="30"/>
          <w:rtl w:val="0"/>
        </w:rPr>
        <w:t xml:space="preserve">6.4.3 Recuperación: qué hacer si se pierden los datos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BM Plex Sans" w:cs="IBM Plex Sans" w:eastAsia="IBM Plex Sans" w:hAnsi="IBM Plex Sans"/>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Si el error se detecta dentro de las 6 horas: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usar la restauración instantánea desde el panel de Neon, eligiendo la fecha y hora anterior al problema. La base vuelve a ese estado sin cambiar la cadena de conexión, así que el backend y el ESP32 siguen funcionando sin tocar nada.</w:t>
      </w:r>
      <w:r>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BM Plex Sans" w:cs="IBM Plex Sans" w:eastAsia="IBM Plex Sans" w:hAnsi="IBM Plex Sans"/>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Si pasaron más de 6 horas: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restaurar desde el último respaldo diario con pg_restore. Se pierde lo producido entre ese respaldo y el incidente, que como máximo es un día de trabajo.</w:t>
      </w:r>
      <w:r>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BM Plex Sans" w:cs="IBM Plex Sans" w:eastAsia="IBM Plex Sans" w:hAnsi="IBM Plex Sans"/>
          <w:i w:val="0"/>
          <w:iCs w:val="0"/>
          <w:smallCaps w:val="0"/>
          <w:strike w:val="0"/>
          <w:color w:val="000000"/>
          <w:sz w:val="24"/>
          <w:szCs w:val="24"/>
          <w:shd w:fill="auto" w:val="clear"/>
          <w:vertAlign w:val="baseline"/>
        </w:rPr>
      </w:pPr>
      <w:r>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Si se pierde la cuenta de Neon entera: </w:t>
      </w:r>
      <w:r>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crear un proyecto nuevo, correr el esquema completo del repositorio y restaurar el último respaldo. El código y la estructura de la base están versionados en GitHub, así que solo hacen falta los datos.</w:t>
      </w:r>
      <w:r>
        <w:rPr>
          <w:rtl w:val="0"/>
        </w:rPr>
      </w:r>
    </w:p>
    <w:p w:rsidR="00000000" w:rsidDel="00000000" w:rsidP="00000000" w:rsidRDefault="00000000" w:rsidRPr="00000000" w14:paraId="00000148">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Prueba de restauración: un respaldo que nunca se probó no es un respaldo. Se recomienda incluir en cada visita de mantenimiento (Sección 6.3) una restauración de prueba sobre una base de desarrollo, para confirmar que el archivo sirve y que el procedimiento funciona.</w:t>
      </w:r>
    </w:p>
    <w:p w:rsidR="00000000" w:rsidDel="00000000" w:rsidP="00000000" w:rsidRDefault="00000000" w:rsidRPr="00000000" w14:paraId="00000149">
      <w:pPr>
        <w:pStyle w:val="Heading2"/>
        <w:spacing w:after="150" w:before="300" w:lineRule="auto"/>
        <w:rPr>
          <w:rFonts w:ascii="Questrial" w:cs="Questrial" w:eastAsia="Questrial" w:hAnsi="Questrial"/>
          <w:color w:val="1E3A5F"/>
          <w:sz w:val="30"/>
          <w:szCs w:val="30"/>
        </w:rPr>
      </w:pPr>
      <w:r>
        <w:rPr>
          <w:rFonts w:ascii="Questrial" w:cs="Questrial" w:eastAsia="Questrial" w:hAnsi="Questrial"/>
          <w:color w:val="1E3A5F"/>
          <w:sz w:val="30"/>
          <w:szCs w:val="30"/>
          <w:rtl w:val="0"/>
        </w:rPr>
        <w:t xml:space="preserve">6.4.4 Impacto en el costo</w:t>
      </w:r>
    </w:p>
    <w:p w:rsidR="00000000" w:rsidDel="00000000" w:rsidP="00000000" w:rsidRDefault="00000000" w:rsidRPr="00000000" w14:paraId="0000014A">
      <w:pPr>
        <w:spacing w:after="15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La estrategia propuesta no agrega costo de infraestructura: la restauración de Neon viene incluida en el plan actual, y el respaldo automático corre sobre herramientas ya disponibles para el proyecto. El único costo es el tiempo de implementación -estimado en 3 horas de desarrollo para dejar el respaldo automático configurado y probado, o $194.438 aplicando la tarifa y el margen del proyecto- y queda incluido dentro de los planes de mantenimiento de la Sección 6.3, sin cargo aparte.</w:t>
      </w:r>
    </w:p>
    <w:p w:rsidR="00000000" w:rsidDel="00000000" w:rsidP="00000000" w:rsidRDefault="00000000" w:rsidRPr="00000000" w14:paraId="0000014B">
      <w:pPr>
        <w:pStyle w:val="Heading1"/>
        <w:rPr>
          <w:rFonts w:ascii="Questrial" w:cs="Questrial" w:eastAsia="Questrial" w:hAnsi="Questrial"/>
          <w:color w:val="1E3A5F"/>
          <w:sz w:val="38"/>
          <w:szCs w:val="38"/>
        </w:rPr>
      </w:pPr>
      <w:r>
        <w:rPr>
          <w:rtl w:val="0"/>
        </w:rPr>
      </w:r>
    </w:p>
    <w:p w:rsidR="00000000" w:rsidDel="00000000" w:rsidP="00000000" w:rsidRDefault="00000000" w:rsidRPr="00000000" w14:paraId="0000014C">
      <w:pPr>
        <w:pStyle w:val="Heading1"/>
        <w:rPr>
          <w:rFonts w:ascii="Questrial" w:cs="Questrial" w:eastAsia="Questrial" w:hAnsi="Questrial"/>
          <w:color w:val="1E3A5F"/>
          <w:sz w:val="38"/>
          <w:szCs w:val="38"/>
        </w:rPr>
      </w:pPr>
      <w:r>
        <w:rPr>
          <w:rFonts w:ascii="Questrial" w:cs="Questrial" w:eastAsia="Questrial" w:hAnsi="Questrial"/>
          <w:color w:val="1E3A5F"/>
          <w:sz w:val="38"/>
          <w:szCs w:val="38"/>
          <w:rtl w:val="0"/>
        </w:rPr>
        <w:t xml:space="preserve">7. Conclusión</w:t>
      </w:r>
    </w:p>
    <w:p w:rsidR="00000000" w:rsidDel="00000000" w:rsidP="00000000" w:rsidRDefault="00000000" w:rsidRPr="00000000" w14:paraId="0000014D">
      <w:pPr>
        <w:spacing w:after="20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El proyecto tiene un costo total estimado de $29.642.903, compuesto casi en su totalidad (99,2%) por el valor del trabajo del equipo y solo marginalmente (0,8%, $231.814) por dinero que realmente hay que desembolsar en componentes y gastos operativos. Con el margen del 25% ya usado en la plantilla original, el presupuesto final asciende a $37.053.629, dejando una ganancia proyectada de $7.410.726.</w:t>
      </w:r>
    </w:p>
    <w:p w:rsidR="00000000" w:rsidDel="00000000" w:rsidP="00000000" w:rsidRDefault="00000000" w:rsidRPr="00000000" w14:paraId="0000014E">
      <w:pPr>
        <w:spacing w:after="200" w:lineRule="auto"/>
        <w:rPr>
          <w:rFonts w:ascii="IBM Plex Sans" w:cs="IBM Plex Sans" w:eastAsia="IBM Plex Sans" w:hAnsi="IBM Plex Sans"/>
          <w:sz w:val="24"/>
          <w:szCs w:val="24"/>
        </w:rPr>
      </w:pPr>
      <w:r>
        <w:rPr>
          <w:rFonts w:ascii="IBM Plex Sans" w:cs="IBM Plex Sans" w:eastAsia="IBM Plex Sans" w:hAnsi="IBM Plex Sans"/>
          <w:sz w:val="24"/>
          <w:szCs w:val="24"/>
          <w:rtl w:val="0"/>
        </w:rPr>
        <w:t xml:space="preserve">Quedan cuatro decisiones abiertas para el equipo antes de la entrega final (14/11/2026): definir la modalidad de inversión real, fijar la vigencia exacta de la garantía dentro del rango de 1 a 3 meses, decidir con qué frecuencia recalcular el presupuesto por el tipo de cambio, y definir los precios finales del servicio de mantenimiento (Sección 6.3), que hoy figuran como valores de referencia calculados sobre las tarifas del proyecto.</w:t>
      </w:r>
    </w:p>
    <w:p w:rsidR="00000000" w:rsidDel="00000000" w:rsidP="00000000" w:rsidRDefault="00000000" w:rsidRPr="00000000" w14:paraId="0000014F">
      <w:pPr>
        <w:spacing w:after="200" w:lineRule="auto"/>
        <w:rPr>
          <w:rFonts w:ascii="IBM Plex Sans" w:cs="IBM Plex Sans" w:eastAsia="IBM Plex Sans" w:hAnsi="IBM Plex Sans"/>
          <w:sz w:val="24"/>
          <w:szCs w:val="24"/>
        </w:rPr>
      </w:pPr>
      <w:r>
        <w:rPr>
          <w:rtl w:val="0"/>
        </w:rPr>
      </w:r>
    </w:p>
    <w:sectPr>
      <w:headerReference r:id="rId7" w:type="default"/>
      <w:footerReference r:id="rId8" w:type="default"/>
      <w:pgSz w:h="23811" w:w="16838" w:orient="portrait"/>
      <w:pgMar w:bottom="1080" w:top="108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jc w:val="center"/>
      <w:rPr/>
    </w:pP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jc w:val="right"/>
      <w:rPr/>
    </w:pPr>
    <w:r w:rsidDel="00000000" w:rsidR="00000000" w:rsidRPr="00000000">
      <w:rPr>
        <w:color w:val="808080"/>
        <w:sz w:val="16"/>
        <w:szCs w:val="16"/>
        <w:rtl w:val="0"/>
      </w:rPr>
      <w:t xml:space="preserve">Automatización de Telar Industrial, Control de Inserción de Trama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IBM Plex Sans" w:cs="IBM Plex Sans" w:eastAsia="IBM Plex Sans" w:hAnsi="IBM Plex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IBM Plex Sans" w:cs="IBM Plex Sans" w:eastAsia="IBM Plex Sans" w:hAnsi="IBM Plex San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IBM Plex Sans" w:cs="IBM Plex Sans" w:eastAsia="IBM Plex Sans" w:hAnsi="IBM Plex San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estrial" w:cs="Questrial" w:eastAsia="Questrial" w:hAnsi="Quest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estrial" w:cs="Questrial" w:eastAsia="Questrial" w:hAnsi="Quest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estrial" w:cs="Questrial" w:eastAsia="Questrial" w:hAnsi="Quest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estrial" w:cs="Questrial" w:eastAsia="Questrial" w:hAnsi="Quest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estrial" w:cs="Questrial" w:eastAsia="Questrial" w:hAnsi="Quest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estrial" w:cs="Questrial" w:eastAsia="Questrial" w:hAnsi="Quest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estrial" w:cs="Questrial" w:eastAsia="Questrial" w:hAnsi="Quest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IBM Plex Sans" panose="02110004020202020204"/>
        <a:ea typeface=""/>
        <a:cs typeface=""/>
        <a:font script="Jpan" typeface="游ゴシック Light"/>
        <a:font script="Hang" typeface="맑은 고딕"/>
        <a:font script="Hans" typeface="等线 Light"/>
        <a:font script="Hant" typeface="新細明體"/>
        <a:font script="Arab" typeface="IBM Plex Sans"/>
        <a:font script="Hebr" typeface="IBM Plex Sans"/>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font script="Armn" typeface="IBM Plex Sans"/>
        <a:font script="Bugi" typeface="Leelawadee UI"/>
        <a:font script="Bopo" typeface="Microsoft JhengHei"/>
        <a:font script="Java" typeface="Javanese Text"/>
        <a:font script="Lisu" typeface="IBM Plex Sans"/>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IBM Plex Sans" panose="02110004020202020204"/>
        <a:ea typeface=""/>
        <a:cs typeface=""/>
        <a:font script="Jpan" typeface="游明朝"/>
        <a:font script="Hang" typeface="맑은 고딕"/>
        <a:font script="Hans" typeface="等线"/>
        <a:font script="Hant" typeface="新細明體"/>
        <a:font script="Arab" typeface="IBM Plex Sans"/>
        <a:font script="Hebr" typeface="IBM Plex Sans"/>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font script="Armn" typeface="IBM Plex Sans"/>
        <a:font script="Bugi" typeface="Leelawadee UI"/>
        <a:font script="Bopo" typeface="Microsoft JhengHei"/>
        <a:font script="Java" typeface="Javanese Text"/>
        <a:font script="Lisu" typeface="IBM Plex Sans"/>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FEIeqREPG3UaY0jxmYhEs+e+/g==">CgMxLjAaJAoBMBIfCh0IB0IZCgVBcmlhbBIQQXJpYWwgVW5pY29kZSBNUxokCgExEh8KHQgHQhkKBUFyaWFsEhBBcmlhbCBVbmljb2RlIE1TGiQKATISHwodCAdCGQoFQXJpYWwSEEFyaWFsIFVuaWNvZGUgTVM4AHIhMTNtQk43R0dCMFJrVjJIelhOaXFCVkI0WEtKYzYyZGVw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2026-08-08T00:02:00Z</dcterms:created>
  <dc:creator>Un-named</dc:creator>
</cp:coreProperties>
</file>