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rPr>
          <w:rFonts w:ascii="IBM Plex Sans" w:cs="IBM Plex Sans" w:eastAsia="IBM Plex Sans" w:hAnsi="IBM Plex Sans"/>
          <w:color w:val="16304F"/>
          <w:sz w:val="24"/>
          <w:szCs w:val="24"/>
        </w:rPr>
      </w:pPr>
      <w:r>
        <w:rPr>
          <w:rFonts w:ascii="IBM Plex Sans" w:cs="IBM Plex Sans" w:eastAsia="IBM Plex Sans" w:hAnsi="IBM Plex Sans"/>
          <w:b w:val="1"/>
          <w:bCs w:val="1"/>
          <w:color w:val="16304F"/>
          <w:sz w:val="42"/>
          <w:szCs w:val="42"/>
          <w:rtl w:val="0"/>
        </w:rPr>
        <w:t xml:space="preserve">ESTIMACIÓN DE COSTOS, GANANCIA Y ASPECTOS CONTRACTUALES</w:t>
      </w:r>
      <w:r>
        <w:rPr>
          <w:rtl w:val="0"/>
        </w:rPr>
      </w:r>
    </w:p>
    <w:p w:rsidR="00000000" w:rsidDel="00000000" w:rsidP="00000000" w:rsidRDefault="00000000" w:rsidRPr="00000000" w14:paraId="00000002">
      <w:pPr>
        <w:spacing w:after="100" w:lineRule="auto"/>
        <w:rPr>
          <w:rFonts w:ascii="IBM Plex Sans" w:cs="IBM Plex Sans" w:eastAsia="IBM Plex Sans" w:hAnsi="IBM Plex Sans"/>
          <w:color w:val="1E3A5F"/>
          <w:sz w:val="24"/>
          <w:szCs w:val="24"/>
        </w:rPr>
      </w:pPr>
      <w:r>
        <w:rPr>
          <w:rFonts w:ascii="IBM Plex Sans" w:cs="IBM Plex Sans" w:eastAsia="IBM Plex Sans" w:hAnsi="IBM Plex Sans"/>
          <w:color w:val="1E3A5F"/>
          <w:sz w:val="30"/>
          <w:szCs w:val="30"/>
          <w:rtl w:val="0"/>
        </w:rPr>
        <w:t xml:space="preserve">Proyecto: Automatización de Telar Industrial, Lectura y Control de Inserción de Trama</w:t>
      </w:r>
      <w:r>
        <w:rPr>
          <w:rtl w:val="0"/>
        </w:rPr>
      </w:r>
    </w:p>
    <w:p w:rsidR="00000000" w:rsidDel="00000000" w:rsidP="00000000" w:rsidRDefault="00000000" w:rsidRPr="00000000" w14:paraId="00000003">
      <w:pPr>
        <w:spacing w:after="400" w:lineRule="auto"/>
        <w:rPr>
          <w:rFonts w:ascii="IBM Plex Sans" w:cs="IBM Plex Sans" w:eastAsia="IBM Plex Sans" w:hAnsi="IBM Plex Sans"/>
          <w:i w:val="1"/>
          <w:iCs w:val="1"/>
          <w:color w:val="808080"/>
          <w:sz w:val="24"/>
          <w:szCs w:val="24"/>
        </w:rPr>
      </w:pPr>
      <w:r>
        <w:rPr>
          <w:rFonts w:ascii="IBM Plex Sans" w:cs="IBM Plex Sans" w:eastAsia="IBM Plex Sans" w:hAnsi="IBM Plex Sans"/>
          <w:i w:val="1"/>
          <w:iCs w:val="1"/>
          <w:color w:val="808080"/>
          <w:sz w:val="24"/>
          <w:szCs w:val="24"/>
          <w:rtl w:val="0"/>
        </w:rPr>
        <w:t xml:space="preserve">7mo año, Informática B</w:t>
      </w:r>
    </w:p>
    <w:p w:rsidR="00000000" w:rsidDel="00000000" w:rsidP="00000000" w:rsidRDefault="00000000" w:rsidRPr="00000000" w14:paraId="00000004">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1. Introducción</w:t>
      </w:r>
    </w:p>
    <w:p w:rsidR="00000000" w:rsidDel="00000000" w:rsidP="00000000" w:rsidRDefault="00000000" w:rsidRPr="00000000" w14:paraId="0000000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documento reúne la estimación económica del proyecto (costos de personal, componentes electrónicos y gastos operativos), la ganancia proyectada y la modalidad de inversión propuesta, y una síntesis de los aspectos contractuales y de garantía del proyecto.</w:t>
      </w:r>
    </w:p>
    <w:p w:rsidR="00000000" w:rsidDel="00000000" w:rsidP="00000000" w:rsidRDefault="00000000" w:rsidRPr="00000000" w14:paraId="00000006">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2. Fuentes de la estimación</w:t>
      </w:r>
    </w:p>
    <w:p w:rsidR="00000000" w:rsidDel="00000000" w:rsidP="00000000" w:rsidRDefault="00000000" w:rsidRPr="00000000" w14:paraId="0000000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surgen de dos fuentes propias del proyecto:</w:t>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Gantt del proyecto: horas estimadas por tarea y responsable asignado.</w:t>
      </w:r>
      <w:r>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Lista de componentes (Control de Trama): precios, cantidades y bloques de compra de la parte electrónica.</w:t>
      </w:r>
      <w:r>
        <w:rPr>
          <w:rtl w:val="0"/>
        </w:rPr>
      </w:r>
    </w:p>
    <w:p w:rsidR="00000000" w:rsidDel="00000000" w:rsidP="00000000" w:rsidRDefault="00000000" w:rsidRPr="00000000" w14:paraId="0000000B">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0C">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3. Estimación de costos</w:t>
      </w:r>
    </w:p>
    <w:p w:rsidR="00000000" w:rsidDel="00000000" w:rsidP="00000000" w:rsidRDefault="00000000" w:rsidRPr="00000000" w14:paraId="0000000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3.1 Costos de personal</w:t>
      </w:r>
    </w:p>
    <w:p w:rsidR="00000000" w:rsidDel="00000000" w:rsidP="00000000" w:rsidRDefault="00000000" w:rsidRPr="00000000" w14:paraId="0000000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Las horas de cada integrante surgen de sumar el campo "Estimado" de todas las tareas del Gantt donde figura como responsable (repartiendo la hora en partes iguales cuando hay más de un responsable por tarea). La tarifa por hora es el valor de referencia junior (JR) de la planilla original, convertido a pesos con el tipo de cambio de referencia ($1.525 = 1 USD), más 5% de contingencia por persona.</w:t>
      </w:r>
    </w:p>
    <w:tbl>
      <w:tblPr>
        <w:tblStyle w:val="Table1"/>
        <w:tblW w:w="14885.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29"/>
        <w:gridCol w:w="4111"/>
        <w:gridCol w:w="1459"/>
        <w:gridCol w:w="1510"/>
        <w:gridCol w:w="1501"/>
        <w:gridCol w:w="1649"/>
        <w:gridCol w:w="1237"/>
        <w:gridCol w:w="2289"/>
        <w:tblGridChange w:id="0">
          <w:tblGrid>
            <w:gridCol w:w="1129"/>
            <w:gridCol w:w="4111"/>
            <w:gridCol w:w="1459"/>
            <w:gridCol w:w="1510"/>
            <w:gridCol w:w="1501"/>
            <w:gridCol w:w="1649"/>
            <w:gridCol w:w="1237"/>
            <w:gridCol w:w="2289"/>
          </w:tblGrid>
        </w:tblGridChange>
      </w:tblGrid>
      <w:tr>
        <w:trPr>
          <w:cantSplit w:val="0"/>
          <w:trHeight w:val="448" w:hRule="atLeast"/>
          <w:tblHeader w:val="1"/>
        </w:trPr>
        <w:tc>
          <w:tcPr>
            <w:shd w:fill="1E3A5F" w:val="clear"/>
            <w:tcMar>
              <w:top w:w="0.0" w:type="dxa"/>
              <w:bottom w:w="0.0" w:type="dxa"/>
            </w:tcMar>
            <w:vAlign w:val="center"/>
          </w:tcPr>
          <w:p w:rsidR="00000000" w:rsidDel="00000000" w:rsidP="00000000" w:rsidRDefault="00000000" w:rsidRPr="00000000" w14:paraId="0000000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Rol</w:t>
            </w:r>
            <w:r>
              <w:rPr>
                <w:rtl w:val="0"/>
              </w:rPr>
            </w:r>
          </w:p>
        </w:tc>
        <w:tc>
          <w:tcPr>
            <w:shd w:fill="1E3A5F" w:val="clear"/>
            <w:tcMar>
              <w:top w:w="0.0" w:type="dxa"/>
              <w:bottom w:w="0.0" w:type="dxa"/>
            </w:tcMar>
            <w:vAlign w:val="center"/>
          </w:tcPr>
          <w:p w:rsidR="00000000" w:rsidDel="00000000" w:rsidP="00000000" w:rsidRDefault="00000000" w:rsidRPr="00000000" w14:paraId="0000001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Integrante</w:t>
            </w:r>
            <w:r>
              <w:rPr>
                <w:rtl w:val="0"/>
              </w:rPr>
            </w:r>
          </w:p>
        </w:tc>
        <w:tc>
          <w:tcPr>
            <w:shd w:fill="1E3A5F" w:val="clear"/>
            <w:tcMar>
              <w:top w:w="0.0" w:type="dxa"/>
              <w:bottom w:w="0.0" w:type="dxa"/>
            </w:tcMar>
            <w:vAlign w:val="center"/>
          </w:tcPr>
          <w:p w:rsidR="00000000" w:rsidDel="00000000" w:rsidP="00000000" w:rsidRDefault="00000000" w:rsidRPr="00000000" w14:paraId="0000001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Hs. estimadas</w:t>
            </w:r>
            <w:r>
              <w:rPr>
                <w:rtl w:val="0"/>
              </w:rPr>
            </w:r>
          </w:p>
        </w:tc>
        <w:tc>
          <w:tcPr>
            <w:shd w:fill="1E3A5F" w:val="clear"/>
            <w:tcMar>
              <w:top w:w="0.0" w:type="dxa"/>
              <w:bottom w:w="0.0" w:type="dxa"/>
            </w:tcMar>
            <w:vAlign w:val="center"/>
          </w:tcPr>
          <w:p w:rsidR="00000000" w:rsidDel="00000000" w:rsidP="00000000" w:rsidRDefault="00000000" w:rsidRPr="00000000" w14:paraId="00000012">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(USD)</w:t>
            </w:r>
            <w:r>
              <w:rPr>
                <w:rtl w:val="0"/>
              </w:rPr>
            </w:r>
          </w:p>
        </w:tc>
        <w:tc>
          <w:tcPr>
            <w:shd w:fill="1E3A5F" w:val="clear"/>
            <w:tcMar>
              <w:top w:w="0.0" w:type="dxa"/>
              <w:bottom w:w="0.0" w:type="dxa"/>
            </w:tcMar>
            <w:vAlign w:val="center"/>
          </w:tcPr>
          <w:p w:rsidR="00000000" w:rsidDel="00000000" w:rsidP="00000000" w:rsidRDefault="00000000" w:rsidRPr="00000000" w14:paraId="00000013">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 cambio</w:t>
            </w:r>
            <w:r>
              <w:rPr>
                <w:rtl w:val="0"/>
              </w:rPr>
            </w:r>
          </w:p>
        </w:tc>
        <w:tc>
          <w:tcPr>
            <w:shd w:fill="1E3A5F" w:val="clear"/>
            <w:tcMar>
              <w:top w:w="0.0" w:type="dxa"/>
              <w:bottom w:w="0.0" w:type="dxa"/>
            </w:tcMar>
            <w:vAlign w:val="center"/>
          </w:tcPr>
          <w:p w:rsidR="00000000" w:rsidDel="00000000" w:rsidP="00000000" w:rsidRDefault="00000000" w:rsidRPr="00000000" w14:paraId="00000014">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Tarifa/hr (ARS)</w:t>
            </w:r>
            <w:r>
              <w:rPr>
                <w:rtl w:val="0"/>
              </w:rPr>
            </w:r>
          </w:p>
        </w:tc>
        <w:tc>
          <w:tcPr>
            <w:shd w:fill="1E3A5F" w:val="clear"/>
            <w:tcMar>
              <w:top w:w="0.0" w:type="dxa"/>
              <w:bottom w:w="0.0" w:type="dxa"/>
            </w:tcMar>
            <w:vAlign w:val="center"/>
          </w:tcPr>
          <w:p w:rsidR="00000000" w:rsidDel="00000000" w:rsidP="00000000" w:rsidRDefault="00000000" w:rsidRPr="00000000" w14:paraId="00000015">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16">
            <w:pPr>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PM</w:t>
            </w:r>
            <w:r>
              <w:rPr>
                <w:rtl w:val="0"/>
              </w:rPr>
            </w:r>
          </w:p>
        </w:tc>
        <w:tc>
          <w:tcPr>
            <w:tcMar>
              <w:top w:w="0.0" w:type="dxa"/>
              <w:bottom w:w="0.0" w:type="dxa"/>
            </w:tcMar>
            <w:vAlign w:val="center"/>
          </w:tcPr>
          <w:p w:rsidR="00000000" w:rsidDel="00000000" w:rsidP="00000000" w:rsidRDefault="00000000" w:rsidRPr="00000000" w14:paraId="0000001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Manfredo Juan Ignacio (Project Manager)</w:t>
            </w:r>
            <w:r>
              <w:rPr>
                <w:rtl w:val="0"/>
              </w:rPr>
            </w:r>
          </w:p>
        </w:tc>
        <w:tc>
          <w:tcPr>
            <w:tcMar>
              <w:top w:w="0.0" w:type="dxa"/>
              <w:bottom w:w="0.0" w:type="dxa"/>
            </w:tcMar>
            <w:vAlign w:val="center"/>
          </w:tcPr>
          <w:p w:rsidR="00000000" w:rsidDel="00000000" w:rsidP="00000000" w:rsidRDefault="00000000" w:rsidRPr="00000000" w14:paraId="0000001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102,08</w:t>
            </w:r>
            <w:r>
              <w:rPr>
                <w:rtl w:val="0"/>
              </w:rPr>
            </w:r>
          </w:p>
        </w:tc>
        <w:tc>
          <w:tcPr>
            <w:tcMar>
              <w:top w:w="0.0" w:type="dxa"/>
              <w:bottom w:w="0.0" w:type="dxa"/>
            </w:tcMar>
            <w:vAlign w:val="center"/>
          </w:tcPr>
          <w:p w:rsidR="00000000" w:rsidDel="00000000" w:rsidP="00000000" w:rsidRDefault="00000000" w:rsidRPr="00000000" w14:paraId="0000001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w:t>
            </w:r>
            <w:r>
              <w:rPr>
                <w:rtl w:val="0"/>
              </w:rPr>
            </w:r>
          </w:p>
        </w:tc>
        <w:tc>
          <w:tcPr>
            <w:tcMar>
              <w:top w:w="0.0" w:type="dxa"/>
              <w:bottom w:w="0.0" w:type="dxa"/>
            </w:tcMar>
            <w:vAlign w:val="center"/>
          </w:tcPr>
          <w:p w:rsidR="00000000" w:rsidDel="00000000" w:rsidP="00000000" w:rsidRDefault="00000000" w:rsidRPr="00000000" w14:paraId="0000001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1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45.750</w:t>
            </w:r>
            <w:r>
              <w:rPr>
                <w:rtl w:val="0"/>
              </w:rPr>
            </w:r>
          </w:p>
        </w:tc>
        <w:tc>
          <w:tcPr>
            <w:tcMar>
              <w:top w:w="0.0" w:type="dxa"/>
              <w:bottom w:w="0.0" w:type="dxa"/>
            </w:tcMar>
            <w:vAlign w:val="center"/>
          </w:tcPr>
          <w:p w:rsidR="00000000" w:rsidDel="00000000" w:rsidP="00000000" w:rsidRDefault="00000000" w:rsidRPr="00000000" w14:paraId="0000001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1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$4.903.828</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1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D01</w:t>
            </w:r>
            <w:r>
              <w:rPr>
                <w:rtl w:val="0"/>
              </w:rPr>
            </w:r>
          </w:p>
        </w:tc>
        <w:tc>
          <w:tcPr>
            <w:tcMar>
              <w:top w:w="0.0" w:type="dxa"/>
              <w:bottom w:w="0.0" w:type="dxa"/>
            </w:tcMar>
            <w:vAlign w:val="center"/>
          </w:tcPr>
          <w:p w:rsidR="00000000" w:rsidDel="00000000" w:rsidP="00000000" w:rsidRDefault="00000000" w:rsidRPr="00000000" w14:paraId="0000002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Desarrollador 01 - Back End</w:t>
            </w:r>
            <w:r>
              <w:rPr>
                <w:rtl w:val="0"/>
              </w:rPr>
            </w:r>
          </w:p>
        </w:tc>
        <w:tc>
          <w:tcPr>
            <w:tcMar>
              <w:top w:w="0.0" w:type="dxa"/>
              <w:bottom w:w="0.0" w:type="dxa"/>
            </w:tcMar>
            <w:vAlign w:val="center"/>
          </w:tcPr>
          <w:p w:rsidR="00000000" w:rsidDel="00000000" w:rsidP="00000000" w:rsidRDefault="00000000" w:rsidRPr="00000000" w14:paraId="0000002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39,40</w:t>
            </w:r>
            <w:r>
              <w:rPr>
                <w:rtl w:val="0"/>
              </w:rPr>
            </w:r>
          </w:p>
        </w:tc>
        <w:tc>
          <w:tcPr>
            <w:tcMar>
              <w:top w:w="0.0" w:type="dxa"/>
              <w:bottom w:w="0.0" w:type="dxa"/>
            </w:tcMar>
            <w:vAlign w:val="center"/>
          </w:tcPr>
          <w:p w:rsidR="00000000" w:rsidDel="00000000" w:rsidP="00000000" w:rsidRDefault="00000000" w:rsidRPr="00000000" w14:paraId="0000002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$2.145.035</w:t>
            </w:r>
            <w:r>
              <w:rPr>
                <w:rtl w:val="0"/>
              </w:rPr>
            </w:r>
          </w:p>
        </w:tc>
      </w:tr>
      <w:tr>
        <w:trPr>
          <w:cantSplit w:val="0"/>
          <w:trHeight w:val="70" w:hRule="atLeast"/>
          <w:tblHeader w:val="0"/>
        </w:trPr>
        <w:tc>
          <w:tcPr>
            <w:tcMar>
              <w:top w:w="0.0" w:type="dxa"/>
              <w:bottom w:w="0.0" w:type="dxa"/>
            </w:tcMar>
            <w:vAlign w:val="center"/>
          </w:tcPr>
          <w:p w:rsidR="00000000" w:rsidDel="00000000" w:rsidP="00000000" w:rsidRDefault="00000000" w:rsidRPr="00000000" w14:paraId="0000002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D02</w:t>
            </w:r>
            <w:r>
              <w:rPr>
                <w:rtl w:val="0"/>
              </w:rPr>
            </w:r>
          </w:p>
        </w:tc>
        <w:tc>
          <w:tcPr>
            <w:tcMar>
              <w:top w:w="0.0" w:type="dxa"/>
              <w:bottom w:w="0.0" w:type="dxa"/>
            </w:tcMar>
            <w:vAlign w:val="center"/>
          </w:tcPr>
          <w:p w:rsidR="00000000" w:rsidDel="00000000" w:rsidP="00000000" w:rsidRDefault="00000000" w:rsidRPr="00000000" w14:paraId="0000002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Iannone Mia (Desarrollador 02 - Front End)</w:t>
            </w:r>
            <w:r>
              <w:rPr>
                <w:rtl w:val="0"/>
              </w:rPr>
            </w:r>
          </w:p>
        </w:tc>
        <w:tc>
          <w:tcPr>
            <w:tcMar>
              <w:top w:w="0.0" w:type="dxa"/>
              <w:bottom w:w="0.0" w:type="dxa"/>
            </w:tcMar>
            <w:vAlign w:val="center"/>
          </w:tcPr>
          <w:p w:rsidR="00000000" w:rsidDel="00000000" w:rsidP="00000000" w:rsidRDefault="00000000" w:rsidRPr="00000000" w14:paraId="0000002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60,82</w:t>
            </w:r>
            <w:r>
              <w:rPr>
                <w:rtl w:val="0"/>
              </w:rPr>
            </w:r>
          </w:p>
        </w:tc>
        <w:tc>
          <w:tcPr>
            <w:tcMar>
              <w:top w:w="0.0" w:type="dxa"/>
              <w:bottom w:w="0.0" w:type="dxa"/>
            </w:tcMar>
            <w:vAlign w:val="center"/>
          </w:tcPr>
          <w:p w:rsidR="00000000" w:rsidDel="00000000" w:rsidP="00000000" w:rsidRDefault="00000000" w:rsidRPr="00000000" w14:paraId="0000002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w:t>
            </w:r>
            <w:r>
              <w:rPr>
                <w:rtl w:val="0"/>
              </w:rPr>
            </w:r>
          </w:p>
        </w:tc>
        <w:tc>
          <w:tcPr>
            <w:tcMar>
              <w:top w:w="0.0" w:type="dxa"/>
              <w:bottom w:w="0.0" w:type="dxa"/>
            </w:tcMar>
            <w:vAlign w:val="center"/>
          </w:tcPr>
          <w:p w:rsidR="00000000" w:rsidDel="00000000" w:rsidP="00000000" w:rsidRDefault="00000000" w:rsidRPr="00000000" w14:paraId="0000002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2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51.850</w:t>
            </w:r>
            <w:r>
              <w:rPr>
                <w:rtl w:val="0"/>
              </w:rPr>
            </w:r>
          </w:p>
        </w:tc>
        <w:tc>
          <w:tcPr>
            <w:tcMar>
              <w:top w:w="0.0" w:type="dxa"/>
              <w:bottom w:w="0.0" w:type="dxa"/>
            </w:tcMar>
            <w:vAlign w:val="center"/>
          </w:tcPr>
          <w:p w:rsidR="00000000" w:rsidDel="00000000" w:rsidP="00000000" w:rsidRDefault="00000000" w:rsidRPr="00000000" w14:paraId="0000002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2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$3.311.011</w:t>
            </w:r>
            <w:r>
              <w:rPr>
                <w:rtl w:val="0"/>
              </w:rPr>
            </w:r>
          </w:p>
        </w:tc>
      </w:tr>
      <w:tr>
        <w:trPr>
          <w:cantSplit w:val="0"/>
          <w:trHeight w:val="429" w:hRule="atLeast"/>
          <w:tblHeader w:val="0"/>
        </w:trPr>
        <w:tc>
          <w:tcPr>
            <w:tcMar>
              <w:top w:w="0.0" w:type="dxa"/>
              <w:bottom w:w="0.0" w:type="dxa"/>
            </w:tcMar>
            <w:vAlign w:val="center"/>
          </w:tcPr>
          <w:p w:rsidR="00000000" w:rsidDel="00000000" w:rsidP="00000000" w:rsidRDefault="00000000" w:rsidRPr="00000000" w14:paraId="0000002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IM01</w:t>
            </w:r>
            <w:r>
              <w:rPr>
                <w:rtl w:val="0"/>
              </w:rPr>
            </w:r>
          </w:p>
        </w:tc>
        <w:tc>
          <w:tcPr>
            <w:tcMar>
              <w:top w:w="0.0" w:type="dxa"/>
              <w:bottom w:w="0.0" w:type="dxa"/>
            </w:tcMar>
            <w:vAlign w:val="center"/>
          </w:tcPr>
          <w:p w:rsidR="00000000" w:rsidDel="00000000" w:rsidP="00000000" w:rsidRDefault="00000000" w:rsidRPr="00000000" w14:paraId="0000003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Lede Buschiazzo Lautaro (Infra. de MCU 01)</w:t>
            </w:r>
            <w:r>
              <w:rPr>
                <w:rtl w:val="0"/>
              </w:rPr>
            </w:r>
          </w:p>
        </w:tc>
        <w:tc>
          <w:tcPr>
            <w:tcMar>
              <w:top w:w="0.0" w:type="dxa"/>
              <w:bottom w:w="0.0" w:type="dxa"/>
            </w:tcMar>
            <w:vAlign w:val="center"/>
          </w:tcPr>
          <w:p w:rsidR="00000000" w:rsidDel="00000000" w:rsidP="00000000" w:rsidRDefault="00000000" w:rsidRPr="00000000" w14:paraId="0000003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76,50</w:t>
            </w:r>
            <w:r>
              <w:rPr>
                <w:rtl w:val="0"/>
              </w:rPr>
            </w:r>
          </w:p>
        </w:tc>
        <w:tc>
          <w:tcPr>
            <w:tcMar>
              <w:top w:w="0.0" w:type="dxa"/>
              <w:bottom w:w="0.0" w:type="dxa"/>
            </w:tcMar>
            <w:vAlign w:val="center"/>
          </w:tcPr>
          <w:p w:rsidR="00000000" w:rsidDel="00000000" w:rsidP="00000000" w:rsidRDefault="00000000" w:rsidRPr="00000000" w14:paraId="0000003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$3.919.860</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3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IM02</w:t>
            </w:r>
            <w:r>
              <w:rPr>
                <w:rtl w:val="0"/>
              </w:rPr>
            </w:r>
          </w:p>
        </w:tc>
        <w:tc>
          <w:tcPr>
            <w:tcMar>
              <w:top w:w="0.0" w:type="dxa"/>
              <w:bottom w:w="0.0" w:type="dxa"/>
            </w:tcMar>
            <w:vAlign w:val="center"/>
          </w:tcPr>
          <w:p w:rsidR="00000000" w:rsidDel="00000000" w:rsidP="00000000" w:rsidRDefault="00000000" w:rsidRPr="00000000" w14:paraId="0000003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Ferrando Jaco (Infra. de MCU 02)</w:t>
            </w:r>
            <w:r>
              <w:rPr>
                <w:rtl w:val="0"/>
              </w:rPr>
            </w:r>
          </w:p>
        </w:tc>
        <w:tc>
          <w:tcPr>
            <w:tcMar>
              <w:top w:w="0.0" w:type="dxa"/>
              <w:bottom w:w="0.0" w:type="dxa"/>
            </w:tcMar>
            <w:vAlign w:val="center"/>
          </w:tcPr>
          <w:p w:rsidR="00000000" w:rsidDel="00000000" w:rsidP="00000000" w:rsidRDefault="00000000" w:rsidRPr="00000000" w14:paraId="0000003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39,23</w:t>
            </w:r>
            <w:r>
              <w:rPr>
                <w:rtl w:val="0"/>
              </w:rPr>
            </w:r>
          </w:p>
        </w:tc>
        <w:tc>
          <w:tcPr>
            <w:tcMar>
              <w:top w:w="0.0" w:type="dxa"/>
              <w:bottom w:w="0.0" w:type="dxa"/>
            </w:tcMar>
            <w:vAlign w:val="center"/>
          </w:tcPr>
          <w:p w:rsidR="00000000" w:rsidDel="00000000" w:rsidP="00000000" w:rsidRDefault="00000000" w:rsidRPr="00000000" w14:paraId="0000003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3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3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3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3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$2.010.316</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3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IR</w:t>
            </w:r>
            <w:r>
              <w:rPr>
                <w:rtl w:val="0"/>
              </w:rPr>
            </w:r>
          </w:p>
        </w:tc>
        <w:tc>
          <w:tcPr>
            <w:tcMar>
              <w:top w:w="0.0" w:type="dxa"/>
              <w:bottom w:w="0.0" w:type="dxa"/>
            </w:tcMar>
            <w:vAlign w:val="center"/>
          </w:tcPr>
          <w:p w:rsidR="00000000" w:rsidDel="00000000" w:rsidP="00000000" w:rsidRDefault="00000000" w:rsidRPr="00000000" w14:paraId="0000004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Montenegro Franco (Infra. de Red)</w:t>
            </w:r>
            <w:r>
              <w:rPr>
                <w:rtl w:val="0"/>
              </w:rPr>
            </w:r>
          </w:p>
        </w:tc>
        <w:tc>
          <w:tcPr>
            <w:tcMar>
              <w:top w:w="0.0" w:type="dxa"/>
              <w:bottom w:w="0.0" w:type="dxa"/>
            </w:tcMar>
            <w:vAlign w:val="center"/>
          </w:tcPr>
          <w:p w:rsidR="00000000" w:rsidDel="00000000" w:rsidP="00000000" w:rsidRDefault="00000000" w:rsidRPr="00000000" w14:paraId="0000004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46,47</w:t>
            </w:r>
            <w:r>
              <w:rPr>
                <w:rtl w:val="0"/>
              </w:rPr>
            </w:r>
          </w:p>
        </w:tc>
        <w:tc>
          <w:tcPr>
            <w:tcMar>
              <w:top w:w="0.0" w:type="dxa"/>
              <w:bottom w:w="0.0" w:type="dxa"/>
            </w:tcMar>
            <w:vAlign w:val="center"/>
          </w:tcPr>
          <w:p w:rsidR="00000000" w:rsidDel="00000000" w:rsidP="00000000" w:rsidRDefault="00000000" w:rsidRPr="00000000" w14:paraId="0000004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$2.380.952</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BD</w:t>
            </w:r>
            <w:r>
              <w:rPr>
                <w:rtl w:val="0"/>
              </w:rPr>
            </w:r>
          </w:p>
        </w:tc>
        <w:tc>
          <w:tcPr>
            <w:tcMar>
              <w:top w:w="0.0" w:type="dxa"/>
              <w:bottom w:w="0.0" w:type="dxa"/>
            </w:tcMar>
            <w:vAlign w:val="center"/>
          </w:tcPr>
          <w:p w:rsidR="00000000" w:rsidDel="00000000" w:rsidP="00000000" w:rsidRDefault="00000000" w:rsidRPr="00000000" w14:paraId="0000004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Administrador de BD</w:t>
            </w:r>
            <w:r>
              <w:rPr>
                <w:rtl w:val="0"/>
              </w:rPr>
            </w:r>
          </w:p>
        </w:tc>
        <w:tc>
          <w:tcPr>
            <w:tcMar>
              <w:top w:w="0.0" w:type="dxa"/>
              <w:bottom w:w="0.0" w:type="dxa"/>
            </w:tcMar>
            <w:vAlign w:val="center"/>
          </w:tcPr>
          <w:p w:rsidR="00000000" w:rsidDel="00000000" w:rsidP="00000000" w:rsidRDefault="00000000" w:rsidRPr="00000000" w14:paraId="0000004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12,07</w:t>
            </w:r>
            <w:r>
              <w:rPr>
                <w:rtl w:val="0"/>
              </w:rPr>
            </w:r>
          </w:p>
        </w:tc>
        <w:tc>
          <w:tcPr>
            <w:tcMar>
              <w:top w:w="0.0" w:type="dxa"/>
              <w:bottom w:w="0.0" w:type="dxa"/>
            </w:tcMar>
            <w:vAlign w:val="center"/>
          </w:tcPr>
          <w:p w:rsidR="00000000" w:rsidDel="00000000" w:rsidP="00000000" w:rsidRDefault="00000000" w:rsidRPr="00000000" w14:paraId="0000004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4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4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4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4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$618.296</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4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DUX</w:t>
            </w:r>
            <w:r>
              <w:rPr>
                <w:rtl w:val="0"/>
              </w:rPr>
            </w:r>
          </w:p>
        </w:tc>
        <w:tc>
          <w:tcPr>
            <w:tcMar>
              <w:top w:w="0.0" w:type="dxa"/>
              <w:bottom w:w="0.0" w:type="dxa"/>
            </w:tcMar>
            <w:vAlign w:val="center"/>
          </w:tcPr>
          <w:p w:rsidR="00000000" w:rsidDel="00000000" w:rsidP="00000000" w:rsidRDefault="00000000" w:rsidRPr="00000000" w14:paraId="0000005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Diseñador UX/UI (Jaco / landing)</w:t>
            </w:r>
            <w:r>
              <w:rPr>
                <w:rtl w:val="0"/>
              </w:rPr>
            </w:r>
          </w:p>
        </w:tc>
        <w:tc>
          <w:tcPr>
            <w:tcMar>
              <w:top w:w="0.0" w:type="dxa"/>
              <w:bottom w:w="0.0" w:type="dxa"/>
            </w:tcMar>
            <w:vAlign w:val="center"/>
          </w:tcPr>
          <w:p w:rsidR="00000000" w:rsidDel="00000000" w:rsidP="00000000" w:rsidRDefault="00000000" w:rsidRPr="00000000" w14:paraId="0000005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77,03</w:t>
            </w:r>
            <w:r>
              <w:rPr>
                <w:rtl w:val="0"/>
              </w:rPr>
            </w:r>
          </w:p>
        </w:tc>
        <w:tc>
          <w:tcPr>
            <w:tcMar>
              <w:top w:w="0.0" w:type="dxa"/>
              <w:bottom w:w="0.0" w:type="dxa"/>
            </w:tcMar>
            <w:vAlign w:val="center"/>
          </w:tcPr>
          <w:p w:rsidR="00000000" w:rsidDel="00000000" w:rsidP="00000000" w:rsidRDefault="00000000" w:rsidRPr="00000000" w14:paraId="0000005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5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5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$3.330.440</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ELE *</w:t>
            </w:r>
            <w:r>
              <w:rPr>
                <w:rtl w:val="0"/>
              </w:rPr>
            </w:r>
          </w:p>
        </w:tc>
        <w:tc>
          <w:tcPr>
            <w:tcMar>
              <w:top w:w="0.0" w:type="dxa"/>
              <w:bottom w:w="0.0" w:type="dxa"/>
            </w:tcMar>
            <w:vAlign w:val="center"/>
          </w:tcPr>
          <w:p w:rsidR="00000000" w:rsidDel="00000000" w:rsidP="00000000" w:rsidRDefault="00000000" w:rsidRPr="00000000" w14:paraId="0000005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Zamora Nahuel (Electrónica)</w:t>
            </w:r>
            <w:r>
              <w:rPr>
                <w:rtl w:val="0"/>
              </w:rPr>
            </w:r>
          </w:p>
        </w:tc>
        <w:tc>
          <w:tcPr>
            <w:tcMar>
              <w:top w:w="0.0" w:type="dxa"/>
              <w:bottom w:w="0.0" w:type="dxa"/>
            </w:tcMar>
            <w:vAlign w:val="center"/>
          </w:tcPr>
          <w:p w:rsidR="00000000" w:rsidDel="00000000" w:rsidP="00000000" w:rsidRDefault="00000000" w:rsidRPr="00000000" w14:paraId="0000005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30,98</w:t>
            </w:r>
            <w:r>
              <w:rPr>
                <w:rtl w:val="0"/>
              </w:rPr>
            </w:r>
          </w:p>
        </w:tc>
        <w:tc>
          <w:tcPr>
            <w:tcMar>
              <w:top w:w="0.0" w:type="dxa"/>
              <w:bottom w:w="0.0" w:type="dxa"/>
            </w:tcMar>
            <w:vAlign w:val="center"/>
          </w:tcPr>
          <w:p w:rsidR="00000000" w:rsidDel="00000000" w:rsidP="00000000" w:rsidRDefault="00000000" w:rsidRPr="00000000" w14:paraId="0000005A">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w:t>
            </w:r>
            <w:r>
              <w:rPr>
                <w:rtl w:val="0"/>
              </w:rPr>
            </w:r>
          </w:p>
        </w:tc>
        <w:tc>
          <w:tcPr>
            <w:tcMar>
              <w:top w:w="0.0" w:type="dxa"/>
              <w:bottom w:w="0.0" w:type="dxa"/>
            </w:tcMar>
            <w:vAlign w:val="center"/>
          </w:tcPr>
          <w:p w:rsidR="00000000" w:rsidDel="00000000" w:rsidP="00000000" w:rsidRDefault="00000000" w:rsidRPr="00000000" w14:paraId="0000005B">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5C">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48.800</w:t>
            </w:r>
            <w:r>
              <w:rPr>
                <w:rtl w:val="0"/>
              </w:rPr>
            </w:r>
          </w:p>
        </w:tc>
        <w:tc>
          <w:tcPr>
            <w:tcMar>
              <w:top w:w="0.0" w:type="dxa"/>
              <w:bottom w:w="0.0" w:type="dxa"/>
            </w:tcMar>
            <w:vAlign w:val="center"/>
          </w:tcPr>
          <w:p w:rsidR="00000000" w:rsidDel="00000000" w:rsidP="00000000" w:rsidRDefault="00000000" w:rsidRPr="00000000" w14:paraId="0000005D">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5E">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$1.587.586</w:t>
            </w:r>
            <w:r>
              <w:rPr>
                <w:rtl w:val="0"/>
              </w:rPr>
            </w:r>
          </w:p>
        </w:tc>
      </w:tr>
      <w:tr>
        <w:trPr>
          <w:cantSplit w:val="0"/>
          <w:trHeight w:val="214" w:hRule="atLeast"/>
          <w:tblHeader w:val="0"/>
        </w:trPr>
        <w:tc>
          <w:tcPr>
            <w:tcMar>
              <w:top w:w="0.0" w:type="dxa"/>
              <w:bottom w:w="0.0" w:type="dxa"/>
            </w:tcMar>
            <w:vAlign w:val="center"/>
          </w:tcPr>
          <w:p w:rsidR="00000000" w:rsidDel="00000000" w:rsidP="00000000" w:rsidRDefault="00000000" w:rsidRPr="00000000" w14:paraId="0000005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MUL *</w:t>
            </w:r>
            <w:r>
              <w:rPr>
                <w:rtl w:val="0"/>
              </w:rPr>
            </w:r>
          </w:p>
        </w:tc>
        <w:tc>
          <w:tcPr>
            <w:tcMar>
              <w:top w:w="0.0" w:type="dxa"/>
              <w:bottom w:w="0.0" w:type="dxa"/>
            </w:tcMar>
            <w:vAlign w:val="center"/>
          </w:tcPr>
          <w:p w:rsidR="00000000" w:rsidDel="00000000" w:rsidP="00000000" w:rsidRDefault="00000000" w:rsidRPr="00000000" w14:paraId="0000006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Funes Muriel (Multimedios)</w:t>
            </w:r>
            <w:r>
              <w:rPr>
                <w:rtl w:val="0"/>
              </w:rPr>
            </w:r>
          </w:p>
        </w:tc>
        <w:tc>
          <w:tcPr>
            <w:tcMar>
              <w:top w:w="0.0" w:type="dxa"/>
              <w:bottom w:w="0.0" w:type="dxa"/>
            </w:tcMar>
            <w:vAlign w:val="center"/>
          </w:tcPr>
          <w:p w:rsidR="00000000" w:rsidDel="00000000" w:rsidP="00000000" w:rsidRDefault="00000000" w:rsidRPr="00000000" w14:paraId="0000006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7,42</w:t>
            </w:r>
            <w:r>
              <w:rPr>
                <w:rtl w:val="0"/>
              </w:rPr>
            </w:r>
          </w:p>
        </w:tc>
        <w:tc>
          <w:tcPr>
            <w:tcMar>
              <w:top w:w="0.0" w:type="dxa"/>
              <w:bottom w:w="0.0" w:type="dxa"/>
            </w:tcMar>
            <w:vAlign w:val="center"/>
          </w:tcPr>
          <w:p w:rsidR="00000000" w:rsidDel="00000000" w:rsidP="00000000" w:rsidRDefault="00000000" w:rsidRPr="00000000" w14:paraId="00000062">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27</w:t>
            </w:r>
            <w:r>
              <w:rPr>
                <w:rtl w:val="0"/>
              </w:rPr>
            </w:r>
          </w:p>
        </w:tc>
        <w:tc>
          <w:tcPr>
            <w:tcMar>
              <w:top w:w="0.0" w:type="dxa"/>
              <w:bottom w:w="0.0" w:type="dxa"/>
            </w:tcMar>
            <w:vAlign w:val="center"/>
          </w:tcPr>
          <w:p w:rsidR="00000000" w:rsidDel="00000000" w:rsidP="00000000" w:rsidRDefault="00000000" w:rsidRPr="00000000" w14:paraId="00000063">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1.525</w:t>
            </w:r>
            <w:r>
              <w:rPr>
                <w:rtl w:val="0"/>
              </w:rPr>
            </w:r>
          </w:p>
        </w:tc>
        <w:tc>
          <w:tcPr>
            <w:tcMar>
              <w:top w:w="0.0" w:type="dxa"/>
              <w:bottom w:w="0.0" w:type="dxa"/>
            </w:tcMar>
            <w:vAlign w:val="center"/>
          </w:tcPr>
          <w:p w:rsidR="00000000" w:rsidDel="00000000" w:rsidP="00000000" w:rsidRDefault="00000000" w:rsidRPr="00000000" w14:paraId="00000064">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41.175</w:t>
            </w:r>
            <w:r>
              <w:rPr>
                <w:rtl w:val="0"/>
              </w:rPr>
            </w:r>
          </w:p>
        </w:tc>
        <w:tc>
          <w:tcPr>
            <w:tcMar>
              <w:top w:w="0.0" w:type="dxa"/>
              <w:bottom w:w="0.0" w:type="dxa"/>
            </w:tcMar>
            <w:vAlign w:val="center"/>
          </w:tcPr>
          <w:p w:rsidR="00000000" w:rsidDel="00000000" w:rsidP="00000000" w:rsidRDefault="00000000" w:rsidRPr="00000000" w14:paraId="00000065">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w:t>
            </w:r>
            <w:r>
              <w:rPr>
                <w:rtl w:val="0"/>
              </w:rPr>
            </w:r>
          </w:p>
        </w:tc>
        <w:tc>
          <w:tcPr>
            <w:tcMar>
              <w:top w:w="0.0" w:type="dxa"/>
              <w:bottom w:w="0.0" w:type="dxa"/>
            </w:tcMar>
            <w:vAlign w:val="center"/>
          </w:tcPr>
          <w:p w:rsidR="00000000" w:rsidDel="00000000" w:rsidP="00000000" w:rsidRDefault="00000000" w:rsidRPr="00000000" w14:paraId="00000066">
            <w:pPr>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$320.650</w:t>
            </w:r>
            <w:r>
              <w:rPr>
                <w:rtl w:val="0"/>
              </w:rPr>
            </w:r>
          </w:p>
        </w:tc>
      </w:tr>
      <w:tr>
        <w:trPr>
          <w:cantSplit w:val="0"/>
          <w:trHeight w:val="293" w:hRule="atLeast"/>
          <w:tblHeader w:val="0"/>
        </w:trPr>
        <w:tc>
          <w:tcPr>
            <w:gridSpan w:val="7"/>
            <w:shd w:fill="DCE7F0" w:val="clear"/>
            <w:tcMar>
              <w:top w:w="0.0" w:type="dxa"/>
              <w:bottom w:w="0.0" w:type="dxa"/>
            </w:tcMar>
          </w:tcPr>
          <w:p w:rsidR="00000000" w:rsidDel="00000000" w:rsidP="00000000" w:rsidRDefault="00000000" w:rsidRPr="00000000" w14:paraId="0000006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DE PERSONAL</w:t>
            </w:r>
            <w:r>
              <w:rPr>
                <w:rtl w:val="0"/>
              </w:rPr>
            </w:r>
          </w:p>
        </w:tc>
        <w:tc>
          <w:tcPr>
            <w:shd w:fill="DCE7F0" w:val="clear"/>
            <w:tcMar>
              <w:top w:w="0.0" w:type="dxa"/>
              <w:bottom w:w="0.0" w:type="dxa"/>
            </w:tcMar>
            <w:vAlign w:val="center"/>
          </w:tcPr>
          <w:p w:rsidR="00000000" w:rsidDel="00000000" w:rsidP="00000000" w:rsidRDefault="00000000" w:rsidRPr="00000000" w14:paraId="0000006E">
            <w:pPr>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$24.527.996</w:t>
            </w:r>
            <w:r>
              <w:rPr>
                <w:rtl w:val="0"/>
              </w:rPr>
            </w:r>
          </w:p>
        </w:tc>
      </w:tr>
    </w:tbl>
    <w:p w:rsidR="00000000" w:rsidDel="00000000" w:rsidP="00000000" w:rsidRDefault="00000000" w:rsidRPr="00000000" w14:paraId="0000006F">
      <w:pPr>
        <w:pStyle w:val="Heading2"/>
        <w:spacing w:after="150" w:before="300" w:lineRule="auto"/>
        <w:rPr>
          <w:rFonts w:ascii="Questrial" w:cs="Questrial" w:eastAsia="Questrial" w:hAnsi="Questrial"/>
          <w:sz w:val="28"/>
          <w:szCs w:val="28"/>
        </w:rPr>
      </w:pPr>
      <w:r>
        <w:rPr>
          <w:rtl w:val="0"/>
        </w:rPr>
      </w:r>
    </w:p>
    <w:p w:rsidR="00000000" w:rsidDel="00000000" w:rsidP="00000000" w:rsidRDefault="00000000" w:rsidRPr="00000000" w14:paraId="0000007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3.2 Costos de componentes electrónicos</w:t>
      </w:r>
    </w:p>
    <w:p w:rsidR="00000000" w:rsidDel="00000000" w:rsidP="00000000" w:rsidRDefault="00000000" w:rsidRPr="00000000" w14:paraId="00000071">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Corresponde al presupuesto de componentes ya relevado, agrupado en los mismos 4 bloques de compra.</w:t>
      </w:r>
    </w:p>
    <w:p w:rsidR="00000000" w:rsidDel="00000000" w:rsidP="00000000" w:rsidRDefault="00000000" w:rsidRPr="00000000" w14:paraId="00000072">
      <w:pPr>
        <w:spacing w:after="150" w:lineRule="auto"/>
        <w:jc w:val="both"/>
        <w:rPr>
          <w:rFonts w:ascii="IBM Plex Sans" w:cs="IBM Plex Sans" w:eastAsia="IBM Plex Sans" w:hAnsi="IBM Plex Sans"/>
          <w:sz w:val="24"/>
          <w:szCs w:val="24"/>
        </w:rPr>
      </w:pPr>
      <w:sdt>
        <w:sdtPr>
          <w:id w:val="663124119"/>
          <w:tag w:val="goog_rdk_0"/>
        </w:sdtPr>
        <w:sdtContent>
          <w:r>
            <w:rPr>
              <w:rFonts w:ascii="IBM Plex Sans" w:cs="IBM Plex Sans" w:eastAsia="IBM Plex Sans" w:hAnsi="IBM Plex Sans"/>
              <w:sz w:val="24"/>
              <w:szCs w:val="24"/>
              <w:rtl w:val="0"/>
            </w:rPr>
            <w:t xml:space="preserve">⚠ Actualización 19-24/08/26: se confirmó el modelo real del telar (Vamatex C201) y su botonera (24V AC, medida en la máquina). El alcance del Bloque A se mantiene en 3 relés (Marcha, Pausa, Retroceder) y se le sumó el sensado de esos mismos tres botones mediante optoacopladores, para que la web detecte cuándo se los usa a mano en la máquina. La alimentación del sistema es una fuente propia HLK-5M05 (220V→5V), independiente del telar. El (pasó a ser medición/test sin costo (instrumental prestado)). Con el gabinete, prensacables y borneras ya cargados como costo real, el subtotal de componentes quedó en $112.803.</w:t>
          </w:r>
        </w:sdtContent>
      </w:sdt>
    </w:p>
    <w:tbl>
      <w:tblPr>
        <w:tblStyle w:val="Table2"/>
        <w:tblW w:w="150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24"/>
        <w:gridCol w:w="4621"/>
        <w:gridCol w:w="6046"/>
        <w:gridCol w:w="2315"/>
        <w:tblGridChange w:id="0">
          <w:tblGrid>
            <w:gridCol w:w="2024"/>
            <w:gridCol w:w="4621"/>
            <w:gridCol w:w="6046"/>
            <w:gridCol w:w="2315"/>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7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Bloque</w:t>
            </w:r>
            <w:r>
              <w:rPr>
                <w:rtl w:val="0"/>
              </w:rPr>
            </w:r>
          </w:p>
        </w:tc>
        <w:tc>
          <w:tcPr>
            <w:shd w:fill="1E3A5F" w:val="clear"/>
            <w:tcMar>
              <w:top w:w="0.0" w:type="dxa"/>
              <w:bottom w:w="0.0" w:type="dxa"/>
            </w:tcMar>
            <w:vAlign w:val="center"/>
          </w:tcPr>
          <w:p w:rsidR="00000000" w:rsidDel="00000000" w:rsidP="00000000" w:rsidRDefault="00000000" w:rsidRPr="00000000" w14:paraId="00000074">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Descripción</w:t>
            </w:r>
            <w:r>
              <w:rPr>
                <w:rtl w:val="0"/>
              </w:rPr>
            </w:r>
          </w:p>
        </w:tc>
        <w:tc>
          <w:tcPr>
            <w:shd w:fill="1E3A5F" w:val="clear"/>
            <w:tcMar>
              <w:top w:w="0.0" w:type="dxa"/>
              <w:bottom w:w="0.0" w:type="dxa"/>
            </w:tcMar>
            <w:vAlign w:val="center"/>
          </w:tcPr>
          <w:p w:rsidR="00000000" w:rsidDel="00000000" w:rsidP="00000000" w:rsidRDefault="00000000" w:rsidRPr="00000000" w14:paraId="00000075">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Momento de compra</w:t>
            </w:r>
            <w:r>
              <w:rPr>
                <w:rtl w:val="0"/>
              </w:rPr>
            </w:r>
          </w:p>
        </w:tc>
        <w:tc>
          <w:tcPr>
            <w:shd w:fill="1E3A5F" w:val="clear"/>
            <w:tcMar>
              <w:top w:w="0.0" w:type="dxa"/>
              <w:bottom w:w="0.0" w:type="dxa"/>
            </w:tcMar>
            <w:vAlign w:val="center"/>
          </w:tcPr>
          <w:p w:rsidR="00000000" w:rsidDel="00000000" w:rsidP="00000000" w:rsidRDefault="00000000" w:rsidRPr="00000000" w14:paraId="00000076">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A</w:t>
            </w:r>
            <w:r>
              <w:rPr>
                <w:rtl w:val="0"/>
              </w:rPr>
            </w:r>
          </w:p>
        </w:tc>
        <w:tc>
          <w:tcPr>
            <w:tcMar>
              <w:top w:w="0.0" w:type="dxa"/>
              <w:bottom w:w="0.0" w:type="dxa"/>
            </w:tcMar>
            <w:vAlign w:val="center"/>
          </w:tcPr>
          <w:p w:rsidR="00000000" w:rsidDel="00000000" w:rsidP="00000000" w:rsidRDefault="00000000" w:rsidRPr="00000000" w14:paraId="0000007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1: Marcha/Pausa en el telar</w:t>
            </w:r>
            <w:r>
              <w:rPr>
                <w:rtl w:val="0"/>
              </w:rPr>
            </w:r>
          </w:p>
        </w:tc>
        <w:tc>
          <w:tcPr>
            <w:tcMar>
              <w:top w:w="0.0" w:type="dxa"/>
              <w:bottom w:w="0.0" w:type="dxa"/>
            </w:tcMar>
            <w:vAlign w:val="center"/>
          </w:tcPr>
          <w:p w:rsidR="00000000" w:rsidDel="00000000" w:rsidP="00000000" w:rsidRDefault="00000000" w:rsidRPr="00000000" w14:paraId="00000079">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ahora, para la Etapa 4</w:t>
            </w:r>
            <w:r>
              <w:rPr>
                <w:rtl w:val="0"/>
              </w:rPr>
            </w:r>
          </w:p>
        </w:tc>
        <w:tc>
          <w:tcPr>
            <w:tcMar>
              <w:top w:w="0.0" w:type="dxa"/>
              <w:bottom w:w="0.0" w:type="dxa"/>
            </w:tcMar>
            <w:vAlign w:val="center"/>
          </w:tcPr>
          <w:p w:rsidR="00000000" w:rsidDel="00000000" w:rsidP="00000000" w:rsidRDefault="00000000" w:rsidRPr="00000000" w14:paraId="0000007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$30.634</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7B">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w:t>
            </w:r>
            <w:r>
              <w:rPr>
                <w:rtl w:val="0"/>
              </w:rPr>
            </w:r>
          </w:p>
        </w:tc>
        <w:tc>
          <w:tcPr>
            <w:tcMar>
              <w:top w:w="0.0" w:type="dxa"/>
              <w:bottom w:w="0.0" w:type="dxa"/>
            </w:tcMar>
            <w:vAlign w:val="center"/>
          </w:tcPr>
          <w:p w:rsidR="00000000" w:rsidDel="00000000" w:rsidP="00000000" w:rsidRDefault="00000000" w:rsidRPr="00000000" w14:paraId="0000007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Medición del telar</w:t>
            </w:r>
            <w:r>
              <w:rPr>
                <w:rtl w:val="0"/>
              </w:rPr>
            </w:r>
          </w:p>
        </w:tc>
        <w:tc>
          <w:tcPr>
            <w:tcMar>
              <w:top w:w="0.0" w:type="dxa"/>
              <w:bottom w:w="0.0" w:type="dxa"/>
            </w:tcMar>
            <w:vAlign w:val="center"/>
          </w:tcPr>
          <w:p w:rsidR="00000000" w:rsidDel="00000000" w:rsidP="00000000" w:rsidRDefault="00000000" w:rsidRPr="00000000" w14:paraId="0000007D">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Casi todo prestado / gratis, primer paso</w:t>
            </w:r>
            <w:r>
              <w:rPr>
                <w:rtl w:val="0"/>
              </w:rPr>
            </w:r>
          </w:p>
        </w:tc>
        <w:tc>
          <w:tcPr>
            <w:tcMar>
              <w:top w:w="0.0" w:type="dxa"/>
              <w:bottom w:w="0.0" w:type="dxa"/>
            </w:tcMar>
            <w:vAlign w:val="center"/>
          </w:tcPr>
          <w:p w:rsidR="00000000" w:rsidDel="00000000" w:rsidP="00000000" w:rsidRDefault="00000000" w:rsidRPr="00000000" w14:paraId="0000007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7F">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C</w:t>
            </w:r>
            <w:r>
              <w:rPr>
                <w:rtl w:val="0"/>
              </w:rPr>
            </w:r>
          </w:p>
        </w:tc>
        <w:tc>
          <w:tcPr>
            <w:tcMar>
              <w:top w:w="0.0" w:type="dxa"/>
              <w:bottom w:w="0.0" w:type="dxa"/>
            </w:tcMar>
            <w:vAlign w:val="center"/>
          </w:tcPr>
          <w:p w:rsidR="00000000" w:rsidDel="00000000" w:rsidP="00000000" w:rsidRDefault="00000000" w:rsidRPr="00000000" w14:paraId="0000008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Sensor de pasada</w:t>
            </w:r>
            <w:r>
              <w:rPr>
                <w:rtl w:val="0"/>
              </w:rPr>
            </w:r>
          </w:p>
        </w:tc>
        <w:tc>
          <w:tcPr>
            <w:tcMar>
              <w:top w:w="0.0" w:type="dxa"/>
              <w:bottom w:w="0.0" w:type="dxa"/>
            </w:tcMar>
            <w:vAlign w:val="center"/>
          </w:tcPr>
          <w:p w:rsidR="00000000" w:rsidDel="00000000" w:rsidP="00000000" w:rsidRDefault="00000000" w:rsidRPr="00000000" w14:paraId="00000081">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Comprar junto con el Bloque D, después de medir</w:t>
            </w:r>
            <w:r>
              <w:rPr>
                <w:rtl w:val="0"/>
              </w:rPr>
            </w:r>
          </w:p>
        </w:tc>
        <w:tc>
          <w:tcPr>
            <w:tcMar>
              <w:top w:w="0.0" w:type="dxa"/>
              <w:bottom w:w="0.0" w:type="dxa"/>
            </w:tcMar>
            <w:vAlign w:val="center"/>
          </w:tcPr>
          <w:p w:rsidR="00000000" w:rsidDel="00000000" w:rsidP="00000000" w:rsidRDefault="00000000" w:rsidRPr="00000000" w14:paraId="0000008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$34.800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83">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Bloque D</w:t>
            </w:r>
            <w:r>
              <w:rPr>
                <w:rtl w:val="0"/>
              </w:rPr>
            </w:r>
          </w:p>
        </w:tc>
        <w:tc>
          <w:tcPr>
            <w:tcMar>
              <w:top w:w="0.0" w:type="dxa"/>
              <w:bottom w:w="0.0" w:type="dxa"/>
            </w:tcMar>
            <w:vAlign w:val="center"/>
          </w:tcPr>
          <w:p w:rsidR="00000000" w:rsidDel="00000000" w:rsidP="00000000" w:rsidRDefault="00000000" w:rsidRPr="00000000" w14:paraId="0000008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Nivel 2: bobinas de selección</w:t>
            </w:r>
            <w:r>
              <w:rPr>
                <w:rtl w:val="0"/>
              </w:rPr>
            </w:r>
          </w:p>
        </w:tc>
        <w:tc>
          <w:tcPr>
            <w:tcMar>
              <w:top w:w="0.0" w:type="dxa"/>
              <w:bottom w:w="0.0" w:type="dxa"/>
            </w:tcMar>
            <w:vAlign w:val="center"/>
          </w:tcPr>
          <w:p w:rsidR="00000000" w:rsidDel="00000000" w:rsidP="00000000" w:rsidRDefault="00000000" w:rsidRPr="00000000" w14:paraId="00000085">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Recién después de medir el telar (tarea 5.10)</w:t>
            </w:r>
            <w:r>
              <w:rPr>
                <w:rtl w:val="0"/>
              </w:rPr>
            </w:r>
          </w:p>
        </w:tc>
        <w:tc>
          <w:tcPr>
            <w:tcMar>
              <w:top w:w="0.0" w:type="dxa"/>
              <w:bottom w:w="0.0" w:type="dxa"/>
            </w:tcMar>
            <w:vAlign w:val="center"/>
          </w:tcPr>
          <w:p w:rsidR="00000000" w:rsidDel="00000000" w:rsidP="00000000" w:rsidRDefault="00000000" w:rsidRPr="00000000" w14:paraId="0000008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$179.900</w:t>
            </w:r>
            <w:r>
              <w:rPr>
                <w:rtl w:val="0"/>
              </w:rPr>
            </w:r>
          </w:p>
        </w:tc>
      </w:tr>
      <w:tr>
        <w:trPr>
          <w:cantSplit w:val="0"/>
          <w:trHeight w:val="298" w:hRule="atLeast"/>
          <w:tblHeader w:val="0"/>
        </w:trPr>
        <w:tc>
          <w:tcPr>
            <w:gridSpan w:val="3"/>
            <w:shd w:fill="DCE7F0" w:val="clear"/>
            <w:tcMar>
              <w:top w:w="0.0" w:type="dxa"/>
              <w:bottom w:w="0.0" w:type="dxa"/>
            </w:tcMar>
          </w:tcPr>
          <w:p w:rsidR="00000000" w:rsidDel="00000000" w:rsidP="00000000" w:rsidRDefault="00000000" w:rsidRPr="00000000" w14:paraId="00000087">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COMPONENTES ELECTRÓNICOS</w:t>
            </w:r>
            <w:r>
              <w:rPr>
                <w:rtl w:val="0"/>
              </w:rPr>
            </w:r>
          </w:p>
        </w:tc>
        <w:tc>
          <w:tcPr>
            <w:shd w:fill="DCE7F0" w:val="clear"/>
            <w:tcMar>
              <w:top w:w="0.0" w:type="dxa"/>
              <w:bottom w:w="0.0" w:type="dxa"/>
            </w:tcMar>
            <w:vAlign w:val="center"/>
          </w:tcPr>
          <w:p w:rsidR="00000000" w:rsidDel="00000000" w:rsidP="00000000" w:rsidRDefault="00000000" w:rsidRPr="00000000" w14:paraId="0000008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$112.803</w:t>
            </w:r>
            <w:r>
              <w:rPr>
                <w:rtl w:val="0"/>
              </w:rPr>
            </w:r>
          </w:p>
        </w:tc>
      </w:tr>
    </w:tbl>
    <w:p w:rsidR="00000000" w:rsidDel="00000000" w:rsidP="00000000" w:rsidRDefault="00000000" w:rsidRPr="00000000" w14:paraId="0000008B">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8C">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3.3 Costos varios / operativos</w:t>
      </w:r>
    </w:p>
    <w:p w:rsidR="00000000" w:rsidDel="00000000" w:rsidP="00000000" w:rsidRDefault="00000000" w:rsidRPr="00000000" w14:paraId="0000008D">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Gastos de funcionamiento del proyecto durante el desarrollo, con 7% de contingencia.</w:t>
      </w:r>
    </w:p>
    <w:tbl>
      <w:tblPr>
        <w:tblStyle w:val="Table3"/>
        <w:tblW w:w="149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897"/>
        <w:gridCol w:w="2506"/>
        <w:gridCol w:w="1537"/>
        <w:gridCol w:w="2094"/>
        <w:gridCol w:w="1838"/>
        <w:gridCol w:w="3059"/>
        <w:tblGridChange w:id="0">
          <w:tblGrid>
            <w:gridCol w:w="3897"/>
            <w:gridCol w:w="2506"/>
            <w:gridCol w:w="1537"/>
            <w:gridCol w:w="2094"/>
            <w:gridCol w:w="1838"/>
            <w:gridCol w:w="3059"/>
          </w:tblGrid>
        </w:tblGridChange>
      </w:tblGrid>
      <w:tr>
        <w:trPr>
          <w:cantSplit w:val="0"/>
          <w:trHeight w:val="234" w:hRule="atLeast"/>
          <w:tblHeader w:val="1"/>
        </w:trPr>
        <w:tc>
          <w:tcPr>
            <w:shd w:fill="1E3A5F" w:val="clear"/>
            <w:tcMar>
              <w:top w:w="0.0" w:type="dxa"/>
              <w:bottom w:w="0.0" w:type="dxa"/>
            </w:tcMar>
            <w:vAlign w:val="center"/>
          </w:tcPr>
          <w:p w:rsidR="00000000" w:rsidDel="00000000" w:rsidP="00000000" w:rsidRDefault="00000000" w:rsidRPr="00000000" w14:paraId="0000008E">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Concepto</w:t>
            </w:r>
            <w:r>
              <w:rPr>
                <w:rtl w:val="0"/>
              </w:rPr>
            </w:r>
          </w:p>
        </w:tc>
        <w:tc>
          <w:tcPr>
            <w:shd w:fill="1E3A5F" w:val="clear"/>
            <w:tcMar>
              <w:top w:w="0.0" w:type="dxa"/>
              <w:bottom w:w="0.0" w:type="dxa"/>
            </w:tcMar>
            <w:vAlign w:val="center"/>
          </w:tcPr>
          <w:p w:rsidR="00000000" w:rsidDel="00000000" w:rsidP="00000000" w:rsidRDefault="00000000" w:rsidRPr="00000000" w14:paraId="0000008F">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Precio unit.</w:t>
            </w:r>
            <w:r>
              <w:rPr>
                <w:rtl w:val="0"/>
              </w:rPr>
            </w:r>
          </w:p>
        </w:tc>
        <w:tc>
          <w:tcPr>
            <w:shd w:fill="1E3A5F" w:val="clear"/>
            <w:tcMar>
              <w:top w:w="0.0" w:type="dxa"/>
              <w:bottom w:w="0.0" w:type="dxa"/>
            </w:tcMar>
            <w:vAlign w:val="center"/>
          </w:tcPr>
          <w:p w:rsidR="00000000" w:rsidDel="00000000" w:rsidP="00000000" w:rsidRDefault="00000000" w:rsidRPr="00000000" w14:paraId="00000090">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Cant.</w:t>
            </w:r>
            <w:r>
              <w:rPr>
                <w:rtl w:val="0"/>
              </w:rPr>
            </w:r>
          </w:p>
        </w:tc>
        <w:tc>
          <w:tcPr>
            <w:shd w:fill="1E3A5F" w:val="clear"/>
            <w:tcMar>
              <w:top w:w="0.0" w:type="dxa"/>
              <w:bottom w:w="0.0" w:type="dxa"/>
            </w:tcMar>
            <w:vAlign w:val="center"/>
          </w:tcPr>
          <w:p w:rsidR="00000000" w:rsidDel="00000000" w:rsidP="00000000" w:rsidRDefault="00000000" w:rsidRPr="00000000" w14:paraId="00000091">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Unidad</w:t>
            </w:r>
            <w:r>
              <w:rPr>
                <w:rtl w:val="0"/>
              </w:rPr>
            </w:r>
          </w:p>
        </w:tc>
        <w:tc>
          <w:tcPr>
            <w:shd w:fill="1E3A5F" w:val="clear"/>
            <w:tcMar>
              <w:top w:w="0.0" w:type="dxa"/>
              <w:bottom w:w="0.0" w:type="dxa"/>
            </w:tcMar>
            <w:vAlign w:val="center"/>
          </w:tcPr>
          <w:p w:rsidR="00000000" w:rsidDel="00000000" w:rsidP="00000000" w:rsidRDefault="00000000" w:rsidRPr="00000000" w14:paraId="00000092">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Continge.</w:t>
            </w:r>
            <w:r>
              <w:rPr>
                <w:rtl w:val="0"/>
              </w:rPr>
            </w:r>
          </w:p>
        </w:tc>
        <w:tc>
          <w:tcPr>
            <w:shd w:fill="1E3A5F" w:val="clear"/>
            <w:tcMar>
              <w:top w:w="0.0" w:type="dxa"/>
              <w:bottom w:w="0.0" w:type="dxa"/>
            </w:tcMar>
            <w:vAlign w:val="center"/>
          </w:tcPr>
          <w:p w:rsidR="00000000" w:rsidDel="00000000" w:rsidP="00000000" w:rsidRDefault="00000000" w:rsidRPr="00000000" w14:paraId="00000093">
            <w:pPr>
              <w:spacing w:after="120" w:before="120" w:line="276" w:lineRule="auto"/>
              <w:jc w:val="center"/>
              <w:rPr>
                <w:rFonts w:ascii="IBM Plex Sans" w:cs="IBM Plex Sans" w:eastAsia="IBM Plex Sans" w:hAnsi="IBM Plex Sans"/>
                <w:sz w:val="28"/>
                <w:szCs w:val="28"/>
              </w:rPr>
            </w:pPr>
            <w:r>
              <w:rPr>
                <w:rFonts w:ascii="IBM Plex Sans" w:cs="IBM Plex Sans" w:eastAsia="IBM Plex Sans" w:hAnsi="IBM Plex Sans"/>
                <w:b w:val="1"/>
                <w:bCs w:val="1"/>
                <w:color w:val="ffffff"/>
                <w:sz w:val="28"/>
                <w:szCs w:val="28"/>
                <w:rtl w:val="0"/>
              </w:rPr>
              <w:t xml:space="preserve">Subtotal (ARS)</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Internet</w:t>
            </w:r>
            <w:r>
              <w:rPr>
                <w:rtl w:val="0"/>
              </w:rPr>
            </w:r>
          </w:p>
        </w:tc>
        <w:tc>
          <w:tcPr>
            <w:tcMar>
              <w:top w:w="0.0" w:type="dxa"/>
              <w:bottom w:w="0.0" w:type="dxa"/>
            </w:tcMar>
            <w:vAlign w:val="center"/>
          </w:tcPr>
          <w:p w:rsidR="00000000" w:rsidDel="00000000" w:rsidP="00000000" w:rsidRDefault="00000000" w:rsidRPr="00000000" w14:paraId="0000009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$24.000</w:t>
            </w:r>
            <w:r>
              <w:rPr>
                <w:rtl w:val="0"/>
              </w:rPr>
            </w:r>
          </w:p>
        </w:tc>
        <w:tc>
          <w:tcPr>
            <w:tcMar>
              <w:top w:w="0.0" w:type="dxa"/>
              <w:bottom w:w="0.0" w:type="dxa"/>
            </w:tcMar>
            <w:vAlign w:val="center"/>
          </w:tcPr>
          <w:p w:rsidR="00000000" w:rsidDel="00000000" w:rsidP="00000000" w:rsidRDefault="00000000" w:rsidRPr="00000000" w14:paraId="00000096">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w:t>
            </w:r>
            <w:r>
              <w:rPr>
                <w:rtl w:val="0"/>
              </w:rPr>
            </w:r>
          </w:p>
        </w:tc>
        <w:tc>
          <w:tcPr>
            <w:tcMar>
              <w:top w:w="0.0" w:type="dxa"/>
              <w:bottom w:w="0.0" w:type="dxa"/>
            </w:tcMar>
            <w:vAlign w:val="center"/>
          </w:tcPr>
          <w:p w:rsidR="00000000" w:rsidDel="00000000" w:rsidP="00000000" w:rsidRDefault="00000000" w:rsidRPr="00000000" w14:paraId="0000009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meses</w:t>
            </w:r>
            <w:r>
              <w:rPr>
                <w:rtl w:val="0"/>
              </w:rPr>
            </w:r>
          </w:p>
        </w:tc>
        <w:tc>
          <w:tcPr>
            <w:tcMar>
              <w:top w:w="0.0" w:type="dxa"/>
              <w:bottom w:w="0.0" w:type="dxa"/>
            </w:tcMar>
            <w:vAlign w:val="center"/>
          </w:tcPr>
          <w:p w:rsidR="00000000" w:rsidDel="00000000" w:rsidP="00000000" w:rsidRDefault="00000000" w:rsidRPr="00000000" w14:paraId="0000009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$51.360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9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materiales</w:t>
            </w:r>
            <w:r>
              <w:rPr>
                <w:rtl w:val="0"/>
              </w:rPr>
            </w:r>
          </w:p>
        </w:tc>
        <w:tc>
          <w:tcPr>
            <w:tcMar>
              <w:top w:w="0.0" w:type="dxa"/>
              <w:bottom w:w="0.0" w:type="dxa"/>
            </w:tcMar>
            <w:vAlign w:val="center"/>
          </w:tcPr>
          <w:p w:rsidR="00000000" w:rsidDel="00000000" w:rsidP="00000000" w:rsidRDefault="00000000" w:rsidRPr="00000000" w14:paraId="0000009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$15.000</w:t>
            </w:r>
            <w:r>
              <w:rPr>
                <w:rtl w:val="0"/>
              </w:rPr>
            </w:r>
          </w:p>
        </w:tc>
        <w:tc>
          <w:tcPr>
            <w:tcMar>
              <w:top w:w="0.0" w:type="dxa"/>
              <w:bottom w:w="0.0" w:type="dxa"/>
            </w:tcMar>
            <w:vAlign w:val="center"/>
          </w:tcPr>
          <w:p w:rsidR="00000000" w:rsidDel="00000000" w:rsidP="00000000" w:rsidRDefault="00000000" w:rsidRPr="00000000" w14:paraId="0000009C">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9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9E">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9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$16.050</w:t>
            </w:r>
            <w:r>
              <w:rPr>
                <w:rtl w:val="0"/>
              </w:rPr>
            </w:r>
          </w:p>
        </w:tc>
      </w:tr>
      <w:tr>
        <w:trPr>
          <w:cantSplit w:val="0"/>
          <w:trHeight w:val="255" w:hRule="atLeast"/>
          <w:tblHeader w:val="0"/>
        </w:trPr>
        <w:tc>
          <w:tcPr>
            <w:tcMar>
              <w:top w:w="0.0" w:type="dxa"/>
              <w:bottom w:w="0.0" w:type="dxa"/>
            </w:tcMar>
            <w:vAlign w:val="center"/>
          </w:tcPr>
          <w:p w:rsidR="00000000" w:rsidDel="00000000" w:rsidP="00000000" w:rsidRDefault="00000000" w:rsidRPr="00000000" w14:paraId="000000A0">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Insumos tecnológicos</w:t>
            </w:r>
            <w:r>
              <w:rPr>
                <w:rtl w:val="0"/>
              </w:rPr>
            </w:r>
          </w:p>
        </w:tc>
        <w:tc>
          <w:tcPr>
            <w:tcMar>
              <w:top w:w="0.0" w:type="dxa"/>
              <w:bottom w:w="0.0" w:type="dxa"/>
            </w:tcMar>
            <w:vAlign w:val="center"/>
          </w:tcPr>
          <w:p w:rsidR="00000000" w:rsidDel="00000000" w:rsidP="00000000" w:rsidRDefault="00000000" w:rsidRPr="00000000" w14:paraId="000000A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$35.000</w:t>
            </w:r>
            <w:r>
              <w:rPr>
                <w:rtl w:val="0"/>
              </w:rPr>
            </w:r>
          </w:p>
        </w:tc>
        <w:tc>
          <w:tcPr>
            <w:tcMar>
              <w:top w:w="0.0" w:type="dxa"/>
              <w:bottom w:w="0.0" w:type="dxa"/>
            </w:tcMar>
            <w:vAlign w:val="center"/>
          </w:tcPr>
          <w:p w:rsidR="00000000" w:rsidDel="00000000" w:rsidP="00000000" w:rsidRDefault="00000000" w:rsidRPr="00000000" w14:paraId="000000A2">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3">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4">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$37.450</w:t>
            </w:r>
            <w:r>
              <w:rPr>
                <w:rtl w:val="0"/>
              </w:rPr>
            </w:r>
          </w:p>
        </w:tc>
      </w:tr>
      <w:tr>
        <w:trPr>
          <w:cantSplit w:val="0"/>
          <w:trHeight w:val="234" w:hRule="atLeast"/>
          <w:tblHeader w:val="0"/>
        </w:trPr>
        <w:tc>
          <w:tcPr>
            <w:tcMar>
              <w:top w:w="0.0" w:type="dxa"/>
              <w:bottom w:w="0.0" w:type="dxa"/>
            </w:tcMar>
            <w:vAlign w:val="center"/>
          </w:tcPr>
          <w:p w:rsidR="00000000" w:rsidDel="00000000" w:rsidP="00000000" w:rsidRDefault="00000000" w:rsidRPr="00000000" w14:paraId="000000A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Entrega de productos</w:t>
            </w:r>
            <w:r>
              <w:rPr>
                <w:rtl w:val="0"/>
              </w:rPr>
            </w:r>
          </w:p>
        </w:tc>
        <w:tc>
          <w:tcPr>
            <w:tcMar>
              <w:top w:w="0.0" w:type="dxa"/>
              <w:bottom w:w="0.0" w:type="dxa"/>
            </w:tcMar>
            <w:vAlign w:val="center"/>
          </w:tcPr>
          <w:p w:rsidR="00000000" w:rsidDel="00000000" w:rsidP="00000000" w:rsidRDefault="00000000" w:rsidRPr="00000000" w14:paraId="000000A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$4.500</w:t>
            </w:r>
            <w:r>
              <w:rPr>
                <w:rtl w:val="0"/>
              </w:rPr>
            </w:r>
          </w:p>
        </w:tc>
        <w:tc>
          <w:tcPr>
            <w:tcMar>
              <w:top w:w="0.0" w:type="dxa"/>
              <w:bottom w:w="0.0" w:type="dxa"/>
            </w:tcMar>
            <w:vAlign w:val="center"/>
          </w:tcPr>
          <w:p w:rsidR="00000000" w:rsidDel="00000000" w:rsidP="00000000" w:rsidRDefault="00000000" w:rsidRPr="00000000" w14:paraId="000000A8">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w:t>
            </w:r>
            <w:r>
              <w:rPr>
                <w:rtl w:val="0"/>
              </w:rPr>
            </w:r>
          </w:p>
        </w:tc>
        <w:tc>
          <w:tcPr>
            <w:tcMar>
              <w:top w:w="0.0" w:type="dxa"/>
              <w:bottom w:w="0.0" w:type="dxa"/>
            </w:tcMar>
            <w:vAlign w:val="center"/>
          </w:tcPr>
          <w:p w:rsidR="00000000" w:rsidDel="00000000" w:rsidP="00000000" w:rsidRDefault="00000000" w:rsidRPr="00000000" w14:paraId="000000A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unidad</w:t>
            </w:r>
            <w:r>
              <w:rPr>
                <w:rtl w:val="0"/>
              </w:rPr>
            </w:r>
          </w:p>
        </w:tc>
        <w:tc>
          <w:tcPr>
            <w:tcMar>
              <w:top w:w="0.0" w:type="dxa"/>
              <w:bottom w:w="0.0" w:type="dxa"/>
            </w:tcMar>
            <w:vAlign w:val="center"/>
          </w:tcPr>
          <w:p w:rsidR="00000000" w:rsidDel="00000000" w:rsidP="00000000" w:rsidRDefault="00000000" w:rsidRPr="00000000" w14:paraId="000000AA">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7%</w:t>
            </w:r>
            <w:r>
              <w:rPr>
                <w:rtl w:val="0"/>
              </w:rPr>
            </w:r>
          </w:p>
        </w:tc>
        <w:tc>
          <w:tcPr>
            <w:tcMar>
              <w:top w:w="0.0" w:type="dxa"/>
              <w:bottom w:w="0.0" w:type="dxa"/>
            </w:tcMar>
            <w:vAlign w:val="center"/>
          </w:tcPr>
          <w:p w:rsidR="00000000" w:rsidDel="00000000" w:rsidP="00000000" w:rsidRDefault="00000000" w:rsidRPr="00000000" w14:paraId="000000A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$4.815</w:t>
            </w:r>
            <w:r>
              <w:rPr>
                <w:rtl w:val="0"/>
              </w:rPr>
            </w:r>
          </w:p>
        </w:tc>
      </w:tr>
      <w:tr>
        <w:trPr>
          <w:cantSplit w:val="0"/>
          <w:trHeight w:val="298" w:hRule="atLeast"/>
          <w:tblHeader w:val="0"/>
        </w:trPr>
        <w:tc>
          <w:tcPr>
            <w:gridSpan w:val="5"/>
            <w:shd w:fill="DCE7F0" w:val="clear"/>
            <w:tcMar>
              <w:top w:w="0.0" w:type="dxa"/>
              <w:bottom w:w="0.0" w:type="dxa"/>
            </w:tcMar>
          </w:tcPr>
          <w:p w:rsidR="00000000" w:rsidDel="00000000" w:rsidP="00000000" w:rsidRDefault="00000000" w:rsidRPr="00000000" w14:paraId="000000A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sz w:val="24"/>
                <w:szCs w:val="24"/>
                <w:rtl w:val="0"/>
              </w:rPr>
              <w:t xml:space="preserve">SUBTOTAL COSTOS VARIOS</w:t>
            </w:r>
            <w:r>
              <w:rPr>
                <w:rtl w:val="0"/>
              </w:rPr>
            </w:r>
          </w:p>
        </w:tc>
        <w:tc>
          <w:tcPr>
            <w:shd w:fill="DCE7F0" w:val="clear"/>
            <w:tcMar>
              <w:top w:w="0.0" w:type="dxa"/>
              <w:bottom w:w="0.0" w:type="dxa"/>
            </w:tcMar>
            <w:vAlign w:val="center"/>
          </w:tcPr>
          <w:p w:rsidR="00000000" w:rsidDel="00000000" w:rsidP="00000000" w:rsidRDefault="00000000" w:rsidRPr="00000000" w14:paraId="000000B1">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$109.675</w:t>
            </w:r>
            <w:r>
              <w:rPr>
                <w:rtl w:val="0"/>
              </w:rPr>
            </w:r>
          </w:p>
        </w:tc>
      </w:tr>
    </w:tbl>
    <w:p w:rsidR="00000000" w:rsidDel="00000000" w:rsidP="00000000" w:rsidRDefault="00000000" w:rsidRPr="00000000" w14:paraId="000000B2">
      <w:pPr>
        <w:pStyle w:val="Heading2"/>
        <w:spacing w:after="150" w:before="300" w:lineRule="auto"/>
        <w:rPr>
          <w:rFonts w:ascii="Questrial" w:cs="Questrial" w:eastAsia="Questrial" w:hAnsi="Questrial"/>
          <w:sz w:val="30"/>
          <w:szCs w:val="30"/>
        </w:rPr>
      </w:pPr>
      <w:r>
        <w:rPr>
          <w:rtl w:val="0"/>
        </w:rPr>
      </w:r>
    </w:p>
    <w:p w:rsidR="00000000" w:rsidDel="00000000" w:rsidP="00000000" w:rsidRDefault="00000000" w:rsidRPr="00000000" w14:paraId="000000B3">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3.4 Resumen de costos</w:t>
      </w:r>
    </w:p>
    <w:tbl>
      <w:tblPr>
        <w:tblStyle w:val="Table4"/>
        <w:tblW w:w="14961.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603"/>
        <w:gridCol w:w="3359"/>
        <w:tblGridChange w:id="0">
          <w:tblGrid>
            <w:gridCol w:w="11603"/>
            <w:gridCol w:w="3359"/>
          </w:tblGrid>
        </w:tblGridChange>
      </w:tblGrid>
      <w:tr>
        <w:trPr>
          <w:cantSplit w:val="0"/>
          <w:trHeight w:val="243" w:hRule="atLeast"/>
          <w:tblHeader w:val="0"/>
        </w:trPr>
        <w:tc>
          <w:tcPr>
            <w:tcMar>
              <w:top w:w="0.0" w:type="dxa"/>
              <w:bottom w:w="0.0" w:type="dxa"/>
            </w:tcMar>
            <w:vAlign w:val="center"/>
          </w:tcPr>
          <w:p w:rsidR="00000000" w:rsidDel="00000000" w:rsidP="00000000" w:rsidRDefault="00000000" w:rsidRPr="00000000" w14:paraId="000000B4">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de personal </w:t>
            </w:r>
            <w:r>
              <w:rPr>
                <w:rtl w:val="0"/>
              </w:rPr>
            </w:r>
          </w:p>
        </w:tc>
        <w:tc>
          <w:tcPr>
            <w:tcMar>
              <w:top w:w="0.0" w:type="dxa"/>
              <w:bottom w:w="0.0" w:type="dxa"/>
            </w:tcMar>
            <w:vAlign w:val="center"/>
          </w:tcPr>
          <w:p w:rsidR="00000000" w:rsidDel="00000000" w:rsidP="00000000" w:rsidRDefault="00000000" w:rsidRPr="00000000" w14:paraId="000000B5">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$24.527.996</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6">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Componentes electrónicos </w:t>
            </w:r>
            <w:r>
              <w:rPr>
                <w:rtl w:val="0"/>
              </w:rPr>
            </w:r>
          </w:p>
        </w:tc>
        <w:tc>
          <w:tcPr>
            <w:tcMar>
              <w:top w:w="0.0" w:type="dxa"/>
              <w:bottom w:w="0.0" w:type="dxa"/>
            </w:tcMar>
            <w:vAlign w:val="center"/>
          </w:tcPr>
          <w:p w:rsidR="00000000" w:rsidDel="00000000" w:rsidP="00000000" w:rsidRDefault="00000000" w:rsidRPr="00000000" w14:paraId="000000B7">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$112.803</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8">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Costos varios / operativos</w:t>
            </w:r>
            <w:r>
              <w:rPr>
                <w:rtl w:val="0"/>
              </w:rPr>
            </w:r>
          </w:p>
        </w:tc>
        <w:tc>
          <w:tcPr>
            <w:tcMar>
              <w:top w:w="0.0" w:type="dxa"/>
              <w:bottom w:w="0.0" w:type="dxa"/>
            </w:tcMar>
            <w:vAlign w:val="center"/>
          </w:tcPr>
          <w:p w:rsidR="00000000" w:rsidDel="00000000" w:rsidP="00000000" w:rsidRDefault="00000000" w:rsidRPr="00000000" w14:paraId="000000B9">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$109.675</w:t>
            </w:r>
            <w:r>
              <w:rPr>
                <w:rtl w:val="0"/>
              </w:rPr>
            </w:r>
          </w:p>
        </w:tc>
      </w:tr>
      <w:tr>
        <w:trPr>
          <w:cantSplit w:val="0"/>
          <w:trHeight w:val="266" w:hRule="atLeast"/>
          <w:tblHeader w:val="0"/>
        </w:trPr>
        <w:tc>
          <w:tcPr>
            <w:shd w:fill="DCE7F0" w:val="clear"/>
            <w:tcMar>
              <w:top w:w="0.0" w:type="dxa"/>
              <w:bottom w:w="0.0" w:type="dxa"/>
            </w:tcMar>
            <w:vAlign w:val="center"/>
          </w:tcPr>
          <w:p w:rsidR="00000000" w:rsidDel="00000000" w:rsidP="00000000" w:rsidRDefault="00000000" w:rsidRPr="00000000" w14:paraId="000000BA">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SUBTOTAL COSTOS DEL PROYECTO</w:t>
            </w:r>
            <w:r>
              <w:rPr>
                <w:rtl w:val="0"/>
              </w:rPr>
            </w:r>
          </w:p>
        </w:tc>
        <w:tc>
          <w:tcPr>
            <w:shd w:fill="DCE7F0" w:val="clear"/>
            <w:tcMar>
              <w:top w:w="0.0" w:type="dxa"/>
              <w:bottom w:w="0.0" w:type="dxa"/>
            </w:tcMar>
            <w:vAlign w:val="center"/>
          </w:tcPr>
          <w:p w:rsidR="00000000" w:rsidDel="00000000" w:rsidP="00000000" w:rsidRDefault="00000000" w:rsidRPr="00000000" w14:paraId="000000BB">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000000"/>
                <w:sz w:val="24"/>
                <w:szCs w:val="24"/>
                <w:rtl w:val="0"/>
              </w:rPr>
              <w:t xml:space="preserve">$24.750.474</w:t>
            </w:r>
            <w:r>
              <w:rPr>
                <w:rtl w:val="0"/>
              </w:rPr>
            </w:r>
          </w:p>
        </w:tc>
      </w:tr>
      <w:tr>
        <w:trPr>
          <w:cantSplit w:val="0"/>
          <w:trHeight w:val="243" w:hRule="atLeast"/>
          <w:tblHeader w:val="0"/>
        </w:trPr>
        <w:tc>
          <w:tcPr>
            <w:tcMar>
              <w:top w:w="0.0" w:type="dxa"/>
              <w:bottom w:w="0.0" w:type="dxa"/>
            </w:tcMar>
            <w:vAlign w:val="center"/>
          </w:tcPr>
          <w:p w:rsidR="00000000" w:rsidDel="00000000" w:rsidP="00000000" w:rsidRDefault="00000000" w:rsidRPr="00000000" w14:paraId="000000BC">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Margen (25%)</w:t>
            </w:r>
            <w:r>
              <w:rPr>
                <w:rtl w:val="0"/>
              </w:rPr>
            </w:r>
          </w:p>
        </w:tc>
        <w:tc>
          <w:tcPr>
            <w:tcMar>
              <w:top w:w="0.0" w:type="dxa"/>
              <w:bottom w:w="0.0" w:type="dxa"/>
            </w:tcMar>
            <w:vAlign w:val="center"/>
          </w:tcPr>
          <w:p w:rsidR="00000000" w:rsidDel="00000000" w:rsidP="00000000" w:rsidRDefault="00000000" w:rsidRPr="00000000" w14:paraId="000000BD">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color w:val="000000"/>
                <w:sz w:val="24"/>
                <w:szCs w:val="24"/>
                <w:rtl w:val="0"/>
              </w:rPr>
              <w:t xml:space="preserve">$6.187.618</w:t>
            </w:r>
            <w:r>
              <w:rPr>
                <w:rtl w:val="0"/>
              </w:rPr>
            </w:r>
          </w:p>
        </w:tc>
      </w:tr>
      <w:tr>
        <w:trPr>
          <w:cantSplit w:val="0"/>
          <w:trHeight w:val="243" w:hRule="atLeast"/>
          <w:tblHeader w:val="0"/>
        </w:trPr>
        <w:tc>
          <w:tcPr>
            <w:shd w:fill="16304F" w:val="clear"/>
            <w:tcMar>
              <w:top w:w="0.0" w:type="dxa"/>
              <w:bottom w:w="0.0" w:type="dxa"/>
            </w:tcMar>
            <w:vAlign w:val="center"/>
          </w:tcPr>
          <w:p w:rsidR="00000000" w:rsidDel="00000000" w:rsidP="00000000" w:rsidRDefault="00000000" w:rsidRPr="00000000" w14:paraId="000000BE">
            <w:pPr>
              <w:spacing w:after="120" w:before="120" w:line="276" w:lineRule="auto"/>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PRESUPUESTO FINAL DEL PROYECTO</w:t>
            </w:r>
            <w:r>
              <w:rPr>
                <w:rtl w:val="0"/>
              </w:rPr>
            </w:r>
          </w:p>
        </w:tc>
        <w:tc>
          <w:tcPr>
            <w:shd w:fill="16304F" w:val="clear"/>
            <w:tcMar>
              <w:top w:w="0.0" w:type="dxa"/>
              <w:bottom w:w="0.0" w:type="dxa"/>
            </w:tcMar>
            <w:vAlign w:val="center"/>
          </w:tcPr>
          <w:p w:rsidR="00000000" w:rsidDel="00000000" w:rsidP="00000000" w:rsidRDefault="00000000" w:rsidRPr="00000000" w14:paraId="000000BF">
            <w:pPr>
              <w:spacing w:after="120" w:before="120" w:line="276" w:lineRule="auto"/>
              <w:jc w:val="center"/>
              <w:rPr>
                <w:rFonts w:ascii="IBM Plex Sans" w:cs="IBM Plex Sans" w:eastAsia="IBM Plex Sans" w:hAnsi="IBM Plex Sans"/>
                <w:sz w:val="24"/>
                <w:szCs w:val="24"/>
              </w:rPr>
            </w:pPr>
            <w:r>
              <w:rPr>
                <w:rFonts w:ascii="IBM Plex Sans" w:cs="IBM Plex Sans" w:eastAsia="IBM Plex Sans" w:hAnsi="IBM Plex Sans"/>
                <w:b w:val="1"/>
                <w:bCs w:val="1"/>
                <w:color w:val="ffffff"/>
                <w:sz w:val="24"/>
                <w:szCs w:val="24"/>
                <w:rtl w:val="0"/>
              </w:rPr>
              <w:t xml:space="preserve">$30.938.092</w:t>
            </w:r>
            <w:r>
              <w:rPr>
                <w:rtl w:val="0"/>
              </w:rPr>
            </w:r>
          </w:p>
        </w:tc>
      </w:tr>
    </w:tbl>
    <w:p w:rsidR="00000000" w:rsidDel="00000000" w:rsidP="00000000" w:rsidRDefault="00000000" w:rsidRPr="00000000" w14:paraId="000000C0">
      <w:pPr>
        <w:rPr>
          <w:rFonts w:ascii="IBM Plex Sans" w:cs="IBM Plex Sans" w:eastAsia="IBM Plex Sans" w:hAnsi="IBM Plex Sans"/>
          <w:sz w:val="22"/>
          <w:szCs w:val="22"/>
        </w:rPr>
      </w:pPr>
      <w:r>
        <w:rPr>
          <w:rtl w:val="0"/>
        </w:rPr>
      </w:r>
    </w:p>
    <w:p w:rsidR="00000000" w:rsidDel="00000000" w:rsidP="00000000" w:rsidRDefault="00000000" w:rsidRPr="00000000" w14:paraId="000000C1">
      <w:pPr>
        <w:rPr>
          <w:rFonts w:ascii="IBM Plex Sans" w:cs="IBM Plex Sans" w:eastAsia="IBM Plex Sans" w:hAnsi="IBM Plex Sans"/>
          <w:sz w:val="22"/>
          <w:szCs w:val="22"/>
        </w:rPr>
      </w:pPr>
      <w:r>
        <w:rPr>
          <w:rtl w:val="0"/>
        </w:rPr>
      </w:r>
    </w:p>
    <w:p w:rsidR="00000000" w:rsidDel="00000000" w:rsidP="00000000" w:rsidRDefault="00000000" w:rsidRPr="00000000" w14:paraId="000000C2">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3.5 Por qué el costo de personal domina el presupuesto</w:t>
      </w:r>
    </w:p>
    <w:p w:rsidR="00000000" w:rsidDel="00000000" w:rsidP="00000000" w:rsidRDefault="00000000" w:rsidRPr="00000000" w14:paraId="000000C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 los $24.750.474 de costo total, el 99,2% ($24.527.996) es costo de personal y apenas el 0,8% restante ($71.150) es dinero que el equipo realmente va a desembolsar (componentes + gastos varios). Esto no es un error de cálculo: la tarifa de personal es un valor de referencia de mercado para un profesional junior, aplicado a las 492 horas planificadas de un proyecto de varios meses mide el VALOR del trabajo invertido por el equipo, no un pago en efectivo real entre compañeros. Es el mismo criterio que usa cualquier estudio de factibilidad económica: cuantificar el costo de oportunidad de las horas de trabajo, aunque en este proyecto nadie cobre ese monto. El desembolso de dinero real y concreto del proyecto es, en cambio, muy acotado: $112.803 en componentes electrónicos y $109.675 en gastos varios.</w:t>
      </w:r>
    </w:p>
    <w:p w:rsidR="00000000" w:rsidDel="00000000" w:rsidP="00000000" w:rsidRDefault="00000000" w:rsidRPr="00000000" w14:paraId="000000C4">
      <w:pPr>
        <w:pStyle w:val="Heading1"/>
        <w:rPr>
          <w:rFonts w:ascii="Questrial" w:cs="Questrial" w:eastAsia="Questrial" w:hAnsi="Questrial"/>
          <w:sz w:val="30"/>
          <w:szCs w:val="30"/>
        </w:rPr>
      </w:pPr>
      <w:r>
        <w:rPr>
          <w:rtl w:val="0"/>
        </w:rPr>
      </w:r>
    </w:p>
    <w:p w:rsidR="00000000" w:rsidDel="00000000" w:rsidP="00000000" w:rsidRDefault="00000000" w:rsidRPr="00000000" w14:paraId="000000C5">
      <w:pPr>
        <w:pStyle w:val="Heading1"/>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3.6 Riesgo de tipo de cambio</w:t>
      </w:r>
    </w:p>
    <w:p w:rsidR="00000000" w:rsidDel="00000000" w:rsidP="00000000" w:rsidRDefault="00000000" w:rsidRPr="00000000" w14:paraId="000000C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Como el costo de personal (99,2% del presupuesto) está calculado en USD y convertido a pesos con un tipo de cambio de referencia ($1.525 = 1 USD), toda la estimación es sensible a la cotización del dólar, que en Argentina puede variar de forma significativa en pocos meses. Una suba del 20% en el tipo de cambio elevaría el costo de personal a unos $29.400.000 (y el presupuesto final con margen a cerca de $37.500.000), sin que haya cambiado ni una hora de trabajo real. El costo en componentes electrónicos y gastos varios, al estar presupuestado directamente en pesos, no tiene esta sensibilidad. Conviene tratar el presupuesto final como una referencia a la fecha de este documento, y no como un número fijo si pasa mucho tiempo entre esta estimación y la compra/cierre real. Se recomienda registrar explícitamente en este documento la fecha en la que se tomó el tipo de cambio de referencia ($1.525 = 1 USD), para que quede como dato de contexto claro si el documento se consulta más adelante.</w:t>
      </w:r>
    </w:p>
    <w:p w:rsidR="00000000" w:rsidDel="00000000" w:rsidP="00000000" w:rsidRDefault="00000000" w:rsidRPr="00000000" w14:paraId="000000C7">
      <w:pPr>
        <w:rPr>
          <w:rFonts w:ascii="IBM Plex Sans" w:cs="IBM Plex Sans" w:eastAsia="IBM Plex Sans" w:hAnsi="IBM Plex Sans"/>
          <w:sz w:val="22"/>
          <w:szCs w:val="22"/>
        </w:rPr>
      </w:pPr>
      <w:r>
        <w:rPr>
          <w:rtl w:val="0"/>
        </w:rPr>
      </w:r>
    </w:p>
    <w:p w:rsidR="00000000" w:rsidDel="00000000" w:rsidP="00000000" w:rsidRDefault="00000000" w:rsidRPr="00000000" w14:paraId="000000C8">
      <w:pPr>
        <w:rPr>
          <w:rFonts w:ascii="IBM Plex Sans" w:cs="IBM Plex Sans" w:eastAsia="IBM Plex Sans" w:hAnsi="IBM Plex Sans"/>
          <w:sz w:val="22"/>
          <w:szCs w:val="22"/>
        </w:rPr>
      </w:pPr>
      <w:r>
        <w:rPr>
          <w:rtl w:val="0"/>
        </w:rPr>
      </w:r>
    </w:p>
    <w:p w:rsidR="00000000" w:rsidDel="00000000" w:rsidP="00000000" w:rsidRDefault="00000000" w:rsidRPr="00000000" w14:paraId="000000C9">
      <w:pPr>
        <w:pStyle w:val="Heading1"/>
        <w:spacing w:after="200" w:before="4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3.7 Puntos a verificar antes de cerrar el presupuesto</w:t>
      </w:r>
    </w:p>
    <w:p w:rsidR="00000000" w:rsidDel="00000000" w:rsidP="00000000" w:rsidRDefault="00000000" w:rsidRPr="00000000" w14:paraId="000000C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los subtotales ya calculados, quedan estos puntos a confirmar contra la lista detallada de componentes (Control de Trama) antes de considerar el presupuesto cerrado:</w:t>
      </w:r>
    </w:p>
    <w:p w:rsidR="00000000" w:rsidDel="00000000" w:rsidP="00000000" w:rsidRDefault="00000000" w:rsidRPr="00000000" w14:paraId="000000C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both"/>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Cable de control: conecta los 3 relés a los botones físicos del telar. Definido: cable multifilar común de 6 conductores y 1 mm², 3 m (Marcha/Pausa/Retroceder). Se descartó el cable mallado tras consultar con un profesional: la señal de contacto seco a 24 V no lo requiere en esta instalación, lo que sirve tanto para los relés como para el sensado, ya que ambos se conectan al mismo par de terminales de cada botón. Figura como ítems en la lista de componentes, dentro del Bloque A.</w:t>
      </w:r>
      <w:r>
        <w:rPr>
          <w:rtl w:val="0"/>
        </w:rPr>
      </w:r>
    </w:p>
    <w:p w:rsidR="00000000" w:rsidDel="00000000" w:rsidP="00000000" w:rsidRDefault="00000000" w:rsidRPr="00000000" w14:paraId="000000C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Insumos de armado: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estaño/soldadura</w:t>
      </w:r>
      <w:r>
        <w:rPr>
          <w:rFonts w:ascii="IBM Plex Sans" w:cs="IBM Plex Sans" w:eastAsia="IBM Plex Sans" w:hAnsi="IBM Plex Sans"/>
          <w:sz w:val="24"/>
          <w:szCs w:val="24"/>
          <w:rtl w:val="0"/>
        </w:rPr>
        <w:t xml:space="preserv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y precintos/cinta aisladora. Si no están explícitamente incluidos en “Insumos materiales” ($15.000, sección 3.3), conviene dejarlo aclarado para no asumir una cobertura que no existe.</w:t>
      </w:r>
      <w:r>
        <w:rPr>
          <w:rtl w:val="0"/>
        </w:rPr>
      </w:r>
    </w:p>
    <w:p w:rsidR="00000000" w:rsidDel="00000000" w:rsidP="00000000" w:rsidRDefault="00000000" w:rsidRPr="00000000" w14:paraId="000000C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sdt>
        <w:sdtPr>
          <w:id w:val="-707200803"/>
          <w:tag w:val="goog_rdk_1"/>
        </w:sdtPr>
        <w:sdtContent>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Gabinete o caja de protección: caja Roker IP65 230x300x106mm, ya comprada, para el ESP32, el módulo de relés y la fuente 220V→5V. Su precio, el de los 4 prensacables PG11 y el de las borneras ya están cargados como costo en el Bloque A de la lista de componentes.</w:t>
          </w:r>
        </w:sdtContent>
      </w:sdt>
      <w:r>
        <w:rPr>
          <w:rtl w:val="0"/>
        </w:rPr>
      </w:r>
    </w:p>
    <w:p w:rsidR="00000000" w:rsidDel="00000000" w:rsidP="00000000" w:rsidRDefault="00000000" w:rsidRPr="00000000" w14:paraId="000000C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Impuestos en las cotizaciones: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confirmar que el subtotal de componentes electrónicos ($112.803) esté tomado sobre el precio final pagado (con impuestos nacionales incluidos) y no sobre el precio neto, sobre todo en los ítems comprados por Mercado Libre.</w:t>
      </w:r>
      <w:r>
        <w:rPr>
          <w:rtl w:val="0"/>
        </w:rPr>
      </w:r>
    </w:p>
    <w:p w:rsidR="00000000" w:rsidDel="00000000" w:rsidP="00000000" w:rsidRDefault="00000000" w:rsidRPr="00000000" w14:paraId="000000CF">
      <w:pPr>
        <w:pStyle w:val="Heading1"/>
        <w:spacing w:after="200" w:before="400" w:lineRule="auto"/>
        <w:rPr>
          <w:rFonts w:ascii="Questrial" w:cs="Questrial" w:eastAsia="Questrial" w:hAnsi="Questrial"/>
          <w:color w:val="1E3A5F"/>
          <w:sz w:val="38"/>
          <w:szCs w:val="38"/>
        </w:rPr>
      </w:pPr>
      <w:r>
        <w:rPr>
          <w:rtl w:val="0"/>
        </w:rPr>
      </w:r>
    </w:p>
    <w:p w:rsidR="00000000" w:rsidDel="00000000" w:rsidP="00000000" w:rsidRDefault="00000000" w:rsidRPr="00000000" w14:paraId="000000D0">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4. Ganancia del proyecto y modalidad de inversión</w:t>
      </w:r>
    </w:p>
    <w:p w:rsidR="00000000" w:rsidDel="00000000" w:rsidP="00000000" w:rsidRDefault="00000000" w:rsidRPr="00000000" w14:paraId="000000D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4.1 Ganancia proyectada</w:t>
      </w:r>
    </w:p>
    <w:p w:rsidR="00000000" w:rsidDel="00000000" w:rsidP="00000000" w:rsidRDefault="00000000" w:rsidRPr="00000000" w14:paraId="000000D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Sobre un costo total del proyecto de $24.750.474 (personal + componentes + gastos varios), se aplica un margen del 25%, lo que deja una ganancia proyectada de $6.187.618 sobre un presupuesto final de $30.938.092.</w:t>
      </w:r>
    </w:p>
    <w:p w:rsidR="00000000" w:rsidDel="00000000" w:rsidP="00000000" w:rsidRDefault="00000000" w:rsidRPr="00000000" w14:paraId="000000D3">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Este margen es el mismo que ya definía la plantilla original del proyecto (25%) y funciona como colchón para imprevistos y como excedente/ganancia del equipo, no solo como cobertura de costos.</w:t>
      </w:r>
    </w:p>
    <w:p w:rsidR="00000000" w:rsidDel="00000000" w:rsidP="00000000" w:rsidRDefault="00000000" w:rsidRPr="00000000" w14:paraId="000000D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4.2 Modalidad de inversión (propuesta a definir por el equipo)</w:t>
      </w:r>
    </w:p>
    <w:p w:rsidR="00000000" w:rsidDel="00000000" w:rsidP="00000000" w:rsidRDefault="00000000" w:rsidRPr="00000000" w14:paraId="000000D5">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componente de mayor peso en el presupuesto es el costo de personal, que en un proyecto no se paga en efectivo, sino que representa el valor del trabajo invertido por cada integrante (es la referencia usada para dimensionar el esfuerzo, no un pago real). El desembolso de dinero real del proyecto se concentra en:</w:t>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Componentes electrónicos: $112.803, distribuidos en los Bloques A, C y D. El Bloque A está prácticamente completo; los Bloques C y D se compran después de medir el telar.</w:t>
      </w:r>
      <w:r>
        <w:rPr>
          <w:rtl w:val="0"/>
        </w:rPr>
      </w:r>
    </w:p>
    <w:p w:rsidR="00000000" w:rsidDel="00000000" w:rsidP="00000000" w:rsidRDefault="00000000" w:rsidRPr="00000000" w14:paraId="00000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Gastos varios/operativos: $109.675 (internet, insumos, entrega).</w:t>
      </w:r>
      <w:r>
        <w:rPr>
          <w:rtl w:val="0"/>
        </w:rPr>
      </w:r>
    </w:p>
    <w:p w:rsidR="00000000" w:rsidDel="00000000" w:rsidP="00000000" w:rsidRDefault="00000000" w:rsidRPr="00000000" w14:paraId="000000D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 proponen las siguientes alternativas de modalidad de inversión, a confirmar con el equipo y/o la institución:</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Aporte igualitario entre integrantes: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cada miembro del equipo aporta una parte proporcional del costo real de componentes y gastos varios (no del costo de personal, que es horas de trabajo, no dinero).</w:t>
      </w:r>
      <w:r>
        <w:rPr>
          <w:rtl w:val="0"/>
        </w:rPr>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Financiamiento institucional: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 sponsor cubre la compra de componentes, y el proyecto queda como propiedad institucional al finalizar.</w:t>
      </w:r>
      <w:r>
        <w:rPr>
          <w:rtl w:val="0"/>
        </w:rPr>
      </w:r>
    </w:p>
    <w:p w:rsidR="00000000" w:rsidDel="00000000" w:rsidP="00000000" w:rsidRDefault="00000000" w:rsidRPr="00000000" w14:paraId="000000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50" w:before="0" w:line="240" w:lineRule="auto"/>
        <w:ind w:left="720" w:right="0" w:hanging="360"/>
        <w:jc w:val="left"/>
        <w:rPr>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Mixta: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aporte inicial del equipo para el Bloque A (arranque de la Etapa 4) y gestión de financiamiento externo para los Bloques C y D (los más caros), una vez confirmada la medición del telar.</w:t>
      </w:r>
      <w:r>
        <w:rPr>
          <w:rtl w:val="0"/>
        </w:rPr>
      </w:r>
    </w:p>
    <w:p w:rsidR="00000000" w:rsidDel="00000000" w:rsidP="00000000" w:rsidRDefault="00000000" w:rsidRPr="00000000" w14:paraId="000000D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recuperación de la inversión (si aplica) se referencia contra el presupuesto final con margen, no contra el costo puro: la diferencia entre ambos es, justamente, la ganancia calculada.</w:t>
      </w:r>
    </w:p>
    <w:p w:rsidR="00000000" w:rsidDel="00000000" w:rsidP="00000000" w:rsidRDefault="00000000" w:rsidRPr="00000000" w14:paraId="000000DD">
      <w:pPr>
        <w:pStyle w:val="Heading1"/>
        <w:spacing w:after="200" w:before="400" w:lineRule="auto"/>
        <w:rPr>
          <w:rFonts w:ascii="Questrial" w:cs="Questrial" w:eastAsia="Questrial" w:hAnsi="Questrial"/>
          <w:sz w:val="38"/>
          <w:szCs w:val="38"/>
        </w:rPr>
      </w:pPr>
      <w:r>
        <w:rPr>
          <w:rtl w:val="0"/>
        </w:rPr>
      </w:r>
    </w:p>
    <w:p w:rsidR="00000000" w:rsidDel="00000000" w:rsidP="00000000" w:rsidRDefault="00000000" w:rsidRPr="00000000" w14:paraId="000000DE">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5. Contrato y garantía</w:t>
      </w:r>
    </w:p>
    <w:p w:rsidR="00000000" w:rsidDel="00000000" w:rsidP="00000000" w:rsidRDefault="00000000" w:rsidRPr="00000000" w14:paraId="000000DF">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Documentación de Proyecto ya define Objetivo, Alcance, Plazos, Responsabilidades, Criterios de aceptación y Condiciones de modificación. Ese apartado no incluye una cláusula de Garantía, así que este documento la agrega como complemento. No se incluyen datos personales de integrantes, clientes ni terceros, ni se desarrolla el marco de la Ley de Protección de Datos Personales, por decisión del equipo.</w:t>
      </w:r>
    </w:p>
    <w:p w:rsidR="00000000" w:rsidDel="00000000" w:rsidP="00000000" w:rsidRDefault="00000000" w:rsidRPr="00000000" w14:paraId="000000E0">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5.1 Garantía propuesta</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Alcance: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cubre el nodo ESP32 con su etapa de potencia y protecciones, el firmware cargado, y la integración con la base de datos PostgreSQL (Neon) y la interfaz web, tal como se entregan al aprobar el criterio de aceptación (prueba de 48 horas continuas).</w:t>
      </w:r>
      <w:r>
        <w:rPr>
          <w:rtl w:val="0"/>
        </w:rPr>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IBM Plex Sans" w:cs="IBM Plex Sans" w:eastAsia="IBM Plex Sans" w:hAnsi="IBM Plex Sans"/>
          <w:i w:val="0"/>
          <w:iCs w:val="0"/>
          <w:smallCaps w:val="0"/>
          <w:strike w:val="0"/>
          <w:color w:val="000000"/>
          <w:sz w:val="24"/>
          <w:szCs w:val="24"/>
          <w:u w:val="none"/>
          <w:shd w:fill="auto" w:val="clear"/>
          <w:vertAlign w:val="baseline"/>
        </w:rPr>
      </w:pPr>
      <w:r>
        <w:rPr>
          <w:rtl w:val="0"/>
        </w:rPr>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Exclusiones: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mal uso, modificaciones no autorizadas del sistema, intervención sobre la estructura de engranajes o motores del telar (explícitamente fuera del alcance), y fallas de fábrica en componentes de terceros (cubiertas, en su caso, por la garantía del fabricante/vendedor original de cada componente).</w:t>
      </w:r>
      <w:r>
        <w:rPr>
          <w:rtl w:val="0"/>
        </w:rPr>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Vigencia: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a definir por el equipo y la cátedra (por ejemplo, un período acotado posterior a la fecha de aceptación, en línea con el cierre de proyecto previsto para el 14/11/2026). Conviene cerrar este valor concreto antes de la 3ra presentación (mediados de septiembre), tal como se indica en la Conclusión.</w:t>
      </w:r>
      <w:r>
        <w:rPr>
          <w:rtl w:val="0"/>
        </w:rPr>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IBM Plex Sans" w:cs="IBM Plex Sans" w:eastAsia="IBM Plex Sans" w:hAnsi="IBM Plex Sans"/>
          <w:b w:val="0"/>
          <w:bCs w:val="0"/>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Soporte posterior: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corrección de errores de software/firmware durante la vigencia de la garantía; coincide con la primera de las "Oportunidades de Negocio" (abono mensual de soporte técnico posterior al piloto).</w:t>
      </w:r>
      <w:r>
        <w:rPr>
          <w:rtl w:val="0"/>
        </w:rPr>
      </w:r>
    </w:p>
    <w:p w:rsidR="00000000" w:rsidDel="00000000" w:rsidP="00000000" w:rsidRDefault="00000000" w:rsidRPr="00000000" w14:paraId="000000E6">
      <w:pPr>
        <w:spacing w:after="200" w:lineRule="auto"/>
        <w:rPr>
          <w:rFonts w:ascii="IBM Plex Sans" w:cs="IBM Plex Sans" w:eastAsia="IBM Plex Sans" w:hAnsi="IBM Plex Sans"/>
          <w:sz w:val="24"/>
          <w:szCs w:val="24"/>
        </w:rPr>
      </w:pPr>
      <w:r>
        <w:rPr>
          <w:rtl w:val="0"/>
        </w:rPr>
      </w:r>
    </w:p>
    <w:p w:rsidR="00000000" w:rsidDel="00000000" w:rsidP="00000000" w:rsidRDefault="00000000" w:rsidRPr="00000000" w14:paraId="000000E7">
      <w:pPr>
        <w:pStyle w:val="Heading1"/>
        <w:spacing w:after="200" w:before="400" w:lineRule="auto"/>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6. Servicio de mantenimiento y vida útil</w:t>
      </w:r>
    </w:p>
    <w:p w:rsidR="00000000" w:rsidDel="00000000" w:rsidP="00000000" w:rsidRDefault="00000000" w:rsidRPr="00000000" w14:paraId="000000E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Además de la garantía (Sección 5), se propone un servicio de mantenimiento pago que extiende la relación con el cliente más allá de la entrega. Es la principal vía de ingreso recurrente del proyecto: a diferencia de la venta única del sistema, un abono genera facturación mes a mes.</w:t>
      </w:r>
    </w:p>
    <w:p w:rsidR="00000000" w:rsidDel="00000000" w:rsidP="00000000" w:rsidRDefault="00000000" w:rsidRPr="00000000" w14:paraId="000000E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6.1 Vida útil de los componentes</w:t>
      </w:r>
    </w:p>
    <w:p w:rsidR="00000000" w:rsidDel="00000000" w:rsidP="00000000" w:rsidRDefault="00000000" w:rsidRPr="00000000" w14:paraId="000000E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valores de vida útil que siguen provienen de las hojas de datos de los fabricantes y son estimaciones estándar de la industria, no mediciones sobre este telar en particular. La vida real depende del uso: un telar que arranca y para muchas veces por turno desgasta los relés más rápido que uno de marcha continua.</w:t>
      </w:r>
    </w:p>
    <w:p w:rsidR="00000000" w:rsidDel="00000000" w:rsidP="00000000" w:rsidRDefault="00000000" w:rsidRPr="00000000" w14:paraId="000000EB">
      <w:pPr>
        <w:spacing w:after="150" w:lineRule="auto"/>
        <w:rPr>
          <w:rFonts w:ascii="IBM Plex Sans" w:cs="IBM Plex Sans" w:eastAsia="IBM Plex Sans" w:hAnsi="IBM Plex Sans"/>
          <w:sz w:val="24"/>
          <w:szCs w:val="24"/>
        </w:rPr>
      </w:pPr>
      <w:r>
        <w:rPr>
          <w:rtl w:val="0"/>
        </w:rPr>
      </w:r>
    </w:p>
    <w:tbl>
      <w:tblPr>
        <w:tblStyle w:val="Table5"/>
        <w:tblW w:w="144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90"/>
        <w:gridCol w:w="6120"/>
        <w:gridCol w:w="4605"/>
        <w:tblGridChange w:id="0">
          <w:tblGrid>
            <w:gridCol w:w="3690"/>
            <w:gridCol w:w="6120"/>
            <w:gridCol w:w="4605"/>
          </w:tblGrid>
        </w:tblGridChange>
      </w:tblGrid>
      <w:tr>
        <w:trPr>
          <w:cantSplit w:val="0"/>
          <w:trHeight w:val="360" w:hRule="atLeast"/>
          <w:tblHeader w:val="0"/>
        </w:trPr>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C">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Componente</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D">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Vida útil estimada</w:t>
            </w:r>
          </w:p>
        </w:tc>
        <w:tc>
          <w:tcPr>
            <w:tcBorders>
              <w:top w:color="1E3A5F" w:space="0" w:sz="8" w:val="single"/>
              <w:left w:color="1E3A5F" w:space="0" w:sz="8" w:val="single"/>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0EE">
            <w:pPr>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hacer</w:t>
            </w:r>
          </w:p>
        </w:tc>
      </w:tr>
      <w:tr>
        <w:trPr>
          <w:cantSplit w:val="0"/>
          <w:trHeight w:val="12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E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Módulo de relés (3 canales: uno de 2 y uno individual)</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~100.000</w:t>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maniobras mecánicas (dato del relé Songle SRD-05VDC). A 20 arranques/pausas</w:t>
            </w:r>
          </w:p>
          <w:p w:rsidR="00000000" w:rsidDel="00000000" w:rsidP="00000000" w:rsidRDefault="00000000" w:rsidRPr="00000000" w14:paraId="000000F2">
            <w:pPr>
              <w:rPr>
                <w:rFonts w:ascii="IBM Plex Sans" w:cs="IBM Plex Sans" w:eastAsia="IBM Plex Sans" w:hAnsi="IBM Plex Sans"/>
                <w:sz w:val="24"/>
                <w:szCs w:val="24"/>
              </w:rPr>
            </w:pPr>
            <w:sdt>
              <w:sdtPr>
                <w:id w:val="-740953440"/>
                <w:tag w:val="goog_rdk_2"/>
              </w:sdtPr>
              <w:sdtContent>
                <w:r>
                  <w:rPr>
                    <w:rFonts w:ascii="IBM Plex Sans" w:cs="IBM Plex Sans" w:eastAsia="IBM Plex Sans" w:hAnsi="IBM Plex Sans"/>
                    <w:sz w:val="24"/>
                    <w:szCs w:val="24"/>
                    <w:rtl w:val="0"/>
                  </w:rPr>
                  <w:t xml:space="preserve">  por turno ≈ 10 años</w:t>
                </w:r>
              </w:sdtContent>
            </w:sdt>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Reemplazo</w:t>
            </w:r>
          </w:p>
          <w:p w:rsidR="00000000" w:rsidDel="00000000" w:rsidP="00000000" w:rsidRDefault="00000000" w:rsidRPr="00000000" w14:paraId="000000F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preventivo si se escucha el clic irregular o falla algún canal</w:t>
            </w:r>
          </w:p>
        </w:tc>
      </w:tr>
      <w:tr>
        <w:trPr>
          <w:cantSplit w:val="0"/>
          <w:trHeight w:val="118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Fuente HLK-5M05</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Vida típica de</w:t>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fuente conmutada: 5-8 años en uso continuo. Los capacitores internos son lo</w:t>
            </w:r>
          </w:p>
          <w:p w:rsidR="00000000" w:rsidDel="00000000" w:rsidP="00000000" w:rsidRDefault="00000000" w:rsidRPr="00000000" w14:paraId="000000F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primero que se degrada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Medir la salida</w:t>
            </w:r>
          </w:p>
          <w:p w:rsidR="00000000" w:rsidDel="00000000" w:rsidP="00000000" w:rsidRDefault="00000000" w:rsidRPr="00000000" w14:paraId="000000FA">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(debe dar 5V estables). Cambiar si baja de 4,7V o fluctúa</w:t>
            </w:r>
          </w:p>
        </w:tc>
      </w:tr>
      <w:tr>
        <w:trPr>
          <w:cantSplit w:val="0"/>
          <w:trHeight w:val="67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B">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ESP32</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partes</w:t>
            </w:r>
          </w:p>
          <w:p w:rsidR="00000000" w:rsidDel="00000000" w:rsidP="00000000" w:rsidRDefault="00000000" w:rsidRPr="00000000" w14:paraId="000000FD">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móviles: &gt;10 años si se mantiene fresco y seco dentro del gabinete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Solo se reemplaza</w:t>
            </w:r>
          </w:p>
          <w:p w:rsidR="00000000" w:rsidDel="00000000" w:rsidP="00000000" w:rsidRDefault="00000000" w:rsidRPr="00000000" w14:paraId="000000FF">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ante falla; el riesgo real es humedad o calor, no desgaste</w:t>
            </w:r>
          </w:p>
        </w:tc>
      </w:tr>
      <w:tr>
        <w:trPr>
          <w:cantSplit w:val="0"/>
          <w:trHeight w:val="91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0">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Optoacopladores PC817</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~10 años (el LED</w:t>
            </w:r>
          </w:p>
          <w:p w:rsidR="00000000" w:rsidDel="00000000" w:rsidP="00000000" w:rsidRDefault="00000000" w:rsidRPr="00000000" w14:paraId="00000102">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interno pierde brillo muy lentamente)</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Reemplazar si el</w:t>
            </w:r>
          </w:p>
          <w:p w:rsidR="00000000" w:rsidDel="00000000" w:rsidP="00000000" w:rsidRDefault="00000000" w:rsidRPr="00000000" w14:paraId="00000104">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sensado empieza a fallar de forma intermitente</w:t>
            </w:r>
          </w:p>
        </w:tc>
      </w:tr>
      <w:tr>
        <w:trPr>
          <w:cantSplit w:val="0"/>
          <w:trHeight w:val="82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5">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Sensor inductivo (Bloque C)</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Sin contacto</w:t>
            </w:r>
          </w:p>
          <w:p w:rsidR="00000000" w:rsidDel="00000000" w:rsidP="00000000" w:rsidRDefault="00000000" w:rsidRPr="00000000" w14:paraId="00000107">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físico: muy larga, &gt;10 años. Lo que falla suele ser el cable, no el sensor</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Revisar el cable</w:t>
            </w:r>
          </w:p>
          <w:p w:rsidR="00000000" w:rsidDel="00000000" w:rsidP="00000000" w:rsidRDefault="00000000" w:rsidRPr="00000000" w14:paraId="00000109">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y la fijación, no el sensor</w:t>
            </w:r>
          </w:p>
        </w:tc>
      </w:tr>
      <w:tr>
        <w:trPr>
          <w:cantSplit w:val="0"/>
          <w:trHeight w:val="85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A">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Bobinas de selección (Bloque D)</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Depende del ciclo</w:t>
            </w:r>
          </w:p>
          <w:p w:rsidR="00000000" w:rsidDel="00000000" w:rsidP="00000000" w:rsidRDefault="00000000" w:rsidRPr="00000000" w14:paraId="0000010C">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trabajo y la temperatura. Es el componente de mayor desgaste del sistema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Definir tras la</w:t>
            </w:r>
          </w:p>
          <w:p w:rsidR="00000000" w:rsidDel="00000000" w:rsidP="00000000" w:rsidRDefault="00000000" w:rsidRPr="00000000" w14:paraId="0000010E">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medición del telar y el ensayo térmico (tarea 5.17)</w:t>
            </w:r>
          </w:p>
        </w:tc>
      </w:tr>
      <w:tr>
        <w:trPr>
          <w:cantSplit w:val="0"/>
          <w:trHeight w:val="1020"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0F">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Cable de control y prensacables</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5-10 años, pero</w:t>
            </w:r>
          </w:p>
          <w:p w:rsidR="00000000" w:rsidDel="00000000" w:rsidP="00000000" w:rsidRDefault="00000000" w:rsidRPr="00000000" w14:paraId="00000111">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ambiente textil el enemigo es la pelusa y la vibración</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Inspección visual</w:t>
            </w:r>
          </w:p>
          <w:p w:rsidR="00000000" w:rsidDel="00000000" w:rsidP="00000000" w:rsidRDefault="00000000" w:rsidRPr="00000000" w14:paraId="00000113">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en cada visita: cable rozado, prensacable flojo</w:t>
            </w:r>
          </w:p>
        </w:tc>
      </w:tr>
      <w:tr>
        <w:trPr>
          <w:cantSplit w:val="0"/>
          <w:trHeight w:val="645" w:hRule="atLeast"/>
          <w:tblHeader w:val="0"/>
        </w:trPr>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4">
            <w:pPr>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Fusible 1A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Es un consumible:</w:t>
            </w:r>
          </w:p>
          <w:p w:rsidR="00000000" w:rsidDel="00000000" w:rsidP="00000000" w:rsidRDefault="00000000" w:rsidRPr="00000000" w14:paraId="00000116">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dura hasta que actúa</w:t>
            </w:r>
          </w:p>
        </w:tc>
        <w:tc>
          <w:tcPr>
            <w:tcBorders>
              <w:top w:color="1E3A5F" w:space="0" w:sz="8" w:val="single"/>
              <w:left w:color="1E3A5F" w:space="0" w:sz="8" w:val="single"/>
              <w:bottom w:color="1E3A5F" w:space="0" w:sz="8" w:val="single"/>
              <w:right w:color="1E3A5F" w:space="0" w:sz="8" w:val="single"/>
            </w:tcBorders>
            <w:tcMar>
              <w:top w:w="0.0" w:type="dxa"/>
              <w:left w:w="100.0" w:type="dxa"/>
              <w:bottom w:w="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Tener siempre 2-3</w:t>
            </w:r>
          </w:p>
          <w:p w:rsidR="00000000" w:rsidDel="00000000" w:rsidP="00000000" w:rsidRDefault="00000000" w:rsidRPr="00000000" w14:paraId="00000118">
            <w:pPr>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  de repuesto en la fábrica</w:t>
            </w:r>
          </w:p>
        </w:tc>
      </w:tr>
    </w:tbl>
    <w:p w:rsidR="00000000" w:rsidDel="00000000" w:rsidP="00000000" w:rsidRDefault="00000000" w:rsidRPr="00000000" w14:paraId="00000119">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1A">
      <w:pPr>
        <w:pStyle w:val="Heading2"/>
        <w:spacing w:after="150" w:lineRule="auto" w:before="300"/>
        <w:rPr>
          <w:rFonts w:ascii="IBM Plex Sans" w:cs="IBM Plex Sans" w:eastAsia="IBM Plex Sans" w:hAnsi="IBM Plex Sans"/>
          <w:color w:val="1E3A5F"/>
          <w:sz w:val="30"/>
          <w:szCs w:val="30"/>
        </w:rPr>
      </w:pPr>
      <w:r>
        <w:rPr>
          <w:rFonts w:ascii="Questrial" w:cs="IBM Plex Sans" w:eastAsia="IBM Plex Sans" w:hAnsi="Questrial"/>
          <w:color w:val="1E3A5F"/>
          <w:sz w:val="30"/>
          <w:szCs w:val="30"/>
          <w:rtl w:val="0"/>
        </w:rPr>
        <w:t>6.2 Mantenimiento del software</w:t>
      </w:r>
    </w:p>
    <w:p w:rsidR="00000000" w:rsidDel="00000000" w:rsidP="00000000" w:rsidRDefault="00000000" w:rsidRPr="00000000" w14:paraId="0000011B">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software no se desgasta, pero sí se rompe por causas externas. Estos son los mantenimientos que necesita, con su frecuencia:</w:t>
      </w:r>
    </w:p>
    <w:p w:rsidR="00000000" w:rsidDel="00000000" w:rsidP="00000000" w:rsidRDefault="00000000" w:rsidRPr="00000000" w14:paraId="00000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Dependencias y seguridad (cada 6 meses):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las librerías de Node.js publican parches de seguridad. Sin actualizarlas, el backend queda expuesto con el tiempo.</w:t>
      </w:r>
      <w:r>
        <w:rPr>
          <w:rtl w:val="0"/>
        </w:rPr>
      </w:r>
    </w:p>
    <w:p w:rsidR="00000000" w:rsidDel="00000000" w:rsidP="00000000" w:rsidRDefault="00000000" w:rsidRPr="00000000" w14:paraId="00000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Plataformas externas (continuo):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el proyecto depende de Neon (base de datos) y Render (servidor). Ambos cambian condiciones, planes y versiones. El plan Free de Render, además, duerme el servicio tras 15 minutos de inactividad.</w:t>
      </w:r>
      <w:r>
        <w:rPr>
          <w:rtl w:val="0"/>
        </w:rPr>
      </w:r>
    </w:p>
    <w:p w:rsidR="00000000" w:rsidDel="00000000" w:rsidP="00000000" w:rsidRDefault="00000000" w:rsidRPr="00000000" w14:paraId="00000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Backups de la base (mensual):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hoy los patrones y el historial viven solo en Neon. Conviene exportar una copia periódica.</w:t>
      </w:r>
      <w:r>
        <w:rPr>
          <w:rtl w:val="0"/>
        </w:rPr>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Certificado y credenciales (anual):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revisar accesos, contraseñas de la base y del WiFi de la fábrica.</w:t>
      </w:r>
      <w:r>
        <w:rPr>
          <w:rtl w:val="0"/>
        </w:rPr>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Ajustes por cambios del telar:</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 si la fábrica cambia el patrón de trabajo, agrega un telar o modifica la botonera, el firmware y la web necesitan adaptarse.</w:t>
      </w:r>
      <w:r>
        <w:rPr>
          <w:rtl w:val="0"/>
        </w:rPr>
      </w:r>
    </w:p>
    <w:p w:rsidR="00000000" w:rsidDel="00000000" w:rsidP="00000000" w:rsidRDefault="00000000" w:rsidRPr="00000000" w14:paraId="00000121">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6.3 Planes de servicio propuestos</w:t>
      </w:r>
    </w:p>
    <w:p w:rsidR="00000000" w:rsidDel="00000000" w:rsidP="00000000" w:rsidRDefault="00000000" w:rsidRPr="00000000" w14:paraId="00000122">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Los precios de abajo NO son una cotización cerrada: son un cálculo de referencia usando las mismas tarifas horarias que el resto de este documento (Electrónica $49.600/h, Desarrollo $52.700/h, PM $46.500/h) más el mismo margen del 25%. El equipo debe ajustarlos según lo que decida cobrar y lo que el cliente esté dispuesto a pagar.</w:t>
      </w:r>
    </w:p>
    <w:p w:rsidR="00000000" w:rsidDel="00000000" w:rsidP="00000000" w:rsidRDefault="00000000" w:rsidRPr="00000000" w14:paraId="00000123">
      <w:pPr>
        <w:spacing w:after="150" w:lineRule="auto"/>
        <w:rPr>
          <w:rFonts w:ascii="IBM Plex Sans" w:cs="IBM Plex Sans" w:eastAsia="IBM Plex Sans" w:hAnsi="IBM Plex Sans"/>
          <w:sz w:val="24"/>
          <w:szCs w:val="24"/>
        </w:rPr>
      </w:pPr>
      <w:r>
        <w:rPr>
          <w:rtl w:val="0"/>
        </w:rPr>
      </w:r>
    </w:p>
    <w:tbl>
      <w:tblPr>
        <w:tblStyle w:val="Table6"/>
        <w:tblW w:w="15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00"/>
        <w:gridCol w:w="6300"/>
        <w:gridCol w:w="3315"/>
        <w:gridCol w:w="3015"/>
        <w:tblGridChange w:id="0">
          <w:tblGrid>
            <w:gridCol w:w="2400"/>
            <w:gridCol w:w="6300"/>
            <w:gridCol w:w="3315"/>
            <w:gridCol w:w="3015"/>
          </w:tblGrid>
        </w:tblGridChange>
      </w:tblGrid>
      <w:tr>
        <w:trPr>
          <w:cantSplit w:val="0"/>
          <w:trHeight w:val="705" w:hRule="atLeast"/>
          <w:tblHeader w:val="0"/>
        </w:trPr>
        <w:tc>
          <w:tcPr>
            <w:tcBorders>
              <w:top w:color="1E3A5F" w:space="0" w:sz="8" w:val="single"/>
              <w:left w:color="1E3A5F" w:space="0" w:sz="8" w:val="single"/>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4">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Plan</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5">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Qué incluye</w:t>
            </w:r>
          </w:p>
        </w:tc>
        <w:tc>
          <w:tcPr>
            <w:tcBorders>
              <w:top w:color="1E3A5F" w:space="0" w:sz="8" w:val="single"/>
              <w:left w:color="000000" w:space="0" w:sz="0" w:val="nil"/>
              <w:bottom w:color="1E3A5F" w:space="0" w:sz="8" w:val="single"/>
              <w:right w:color="000000" w:space="0" w:sz="0" w:val="nil"/>
            </w:tcBorders>
            <w:shd w:fill="1E3A5F" w:val="clear"/>
            <w:tcMar>
              <w:top w:w="0.0" w:type="dxa"/>
              <w:left w:w="100.0" w:type="dxa"/>
              <w:bottom w:w="0.0" w:type="dxa"/>
              <w:right w:w="100.0" w:type="dxa"/>
            </w:tcMar>
            <w:vAlign w:val="top"/>
          </w:tcPr>
          <w:p w:rsidR="00000000" w:rsidDel="00000000" w:rsidP="00000000" w:rsidRDefault="00000000" w:rsidRPr="00000000" w14:paraId="00000126">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Frecuencia</w:t>
            </w:r>
          </w:p>
        </w:tc>
        <w:tc>
          <w:tcPr>
            <w:tcBorders>
              <w:top w:color="1E3A5F" w:space="0" w:sz="8" w:val="single"/>
              <w:left w:color="000000" w:space="0" w:sz="0" w:val="nil"/>
              <w:bottom w:color="1E3A5F" w:space="0" w:sz="8" w:val="single"/>
              <w:right w:color="1E3A5F" w:space="0" w:sz="8" w:val="single"/>
            </w:tcBorders>
            <w:shd w:fill="1E3A5F" w:val="clear"/>
            <w:tcMar>
              <w:top w:w="0.0" w:type="dxa"/>
              <w:left w:w="100.0" w:type="dxa"/>
              <w:bottom w:w="0.0" w:type="dxa"/>
              <w:right w:w="100.0" w:type="dxa"/>
            </w:tcMar>
            <w:vAlign w:val="top"/>
          </w:tcPr>
          <w:p w:rsidR="00000000" w:rsidDel="00000000" w:rsidP="00000000" w:rsidRDefault="00000000" w:rsidRPr="00000000" w14:paraId="00000127">
            <w:pPr>
              <w:spacing w:line="276" w:lineRule="auto"/>
              <w:jc w:val="center"/>
              <w:rPr>
                <w:rFonts w:ascii="IBM Plex Sans" w:cs="IBM Plex Sans" w:eastAsia="IBM Plex Sans" w:hAnsi="IBM Plex Sans"/>
                <w:b w:val="1"/>
                <w:bCs w:val="1"/>
                <w:color w:val="ffffff"/>
                <w:sz w:val="28"/>
                <w:szCs w:val="28"/>
              </w:rPr>
            </w:pPr>
            <w:r>
              <w:rPr>
                <w:rFonts w:ascii="IBM Plex Sans" w:cs="IBM Plex Sans" w:eastAsia="IBM Plex Sans" w:hAnsi="IBM Plex Sans"/>
                <w:b w:val="1"/>
                <w:bCs w:val="1"/>
                <w:color w:val="ffffff"/>
                <w:sz w:val="28"/>
                <w:szCs w:val="28"/>
                <w:rtl w:val="0"/>
              </w:rPr>
              <w:t xml:space="preserve">Precio de referencia</w:t>
            </w:r>
          </w:p>
        </w:tc>
      </w:tr>
      <w:tr>
        <w:trPr>
          <w:cantSplit w:val="0"/>
          <w:trHeight w:val="133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8">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Básico, solo software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9">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Actualización de dependencias y parches de seguridad, monitoreo del backend, backup mensual de la base y corrección de errores de software/firmware.</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A">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(2 h/mes de desarrollo)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B">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$131.750 / mes</w:t>
            </w:r>
          </w:p>
        </w:tc>
      </w:tr>
      <w:tr>
        <w:trPr>
          <w:cantSplit w:val="0"/>
          <w:trHeight w:val="178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C">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Completo, software + visita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D">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del plan Básico, más una visita presencial de inspección: revisión del gabinete y la pelusa acumulada, medición de la fuente, prueba de los 3 relés y del sensado, revisión de cables y prensacables.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E">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Abono mensual + 2 visitas al año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2F">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$131.750 / mes + $244.125 por visita</w:t>
            </w:r>
          </w:p>
        </w:tc>
      </w:tr>
      <w:tr>
        <w:trPr>
          <w:cantSplit w:val="0"/>
          <w:trHeight w:val="870"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0">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Por incidente (sin abono)</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1">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Atención puntual ante una falla, sin contrato mensual. Sin prioridad de respuesta ni prevención.</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2">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 demanda</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3">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$244.125 por intervención (mínimo 4 h)</w:t>
            </w:r>
          </w:p>
        </w:tc>
      </w:tr>
      <w:tr>
        <w:trPr>
          <w:cantSplit w:val="0"/>
          <w:trHeight w:val="1395" w:hRule="atLeast"/>
          <w:tblHeader w:val="0"/>
        </w:trPr>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4">
            <w:pPr>
              <w:spacing w:line="276" w:lineRule="auto"/>
              <w:rPr>
                <w:rFonts w:ascii="IBM Plex Sans" w:cs="IBM Plex Sans" w:eastAsia="IBM Plex Sans" w:hAnsi="IBM Plex Sans"/>
                <w:b w:val="1"/>
                <w:bCs w:val="1"/>
                <w:sz w:val="24"/>
                <w:szCs w:val="24"/>
              </w:rPr>
            </w:pPr>
            <w:r>
              <w:rPr>
                <w:rFonts w:ascii="IBM Plex Sans" w:cs="IBM Plex Sans" w:eastAsia="IBM Plex Sans" w:hAnsi="IBM Plex Sans"/>
                <w:b w:val="1"/>
                <w:bCs w:val="1"/>
                <w:sz w:val="24"/>
                <w:szCs w:val="24"/>
                <w:rtl w:val="0"/>
              </w:rPr>
              <w:t xml:space="preserve">Repuestos</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5">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No incluidos en ningún plan: se facturan aparte al costo del componente. Referencia: módulo de relés $3.463 · fuente HLK-5M05 $7.000 · ESP32 $12.203 · fusibles ~$800.</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6">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Según necesidad</w:t>
            </w:r>
          </w:p>
        </w:tc>
        <w:tc>
          <w:tcPr>
            <w:tcBorders>
              <w:top w:color="1E3A5F" w:space="0" w:sz="8" w:val="single"/>
              <w:left w:color="1E3A5F" w:space="0" w:sz="8" w:val="single"/>
              <w:bottom w:color="1E3A5F" w:space="0" w:sz="8" w:val="single"/>
              <w:right w:color="1E3A5F" w:space="0" w:sz="8" w:val="single"/>
            </w:tcBorders>
            <w:shd w:fill="ffffff" w:val="clear"/>
            <w:tcMar>
              <w:top w:w="0.0" w:type="dxa"/>
              <w:left w:w="100.0" w:type="dxa"/>
              <w:bottom w:w="0.0" w:type="dxa"/>
              <w:right w:w="100.0" w:type="dxa"/>
            </w:tcMar>
            <w:vAlign w:val="top"/>
          </w:tcPr>
          <w:p w:rsidR="00000000" w:rsidDel="00000000" w:rsidP="00000000" w:rsidRDefault="00000000" w:rsidRPr="00000000" w14:paraId="00000137">
            <w:pPr>
              <w:spacing w:line="276"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Al costo + mano de obra</w:t>
            </w:r>
          </w:p>
        </w:tc>
      </w:tr>
    </w:tbl>
    <w:p w:rsidR="00000000" w:rsidDel="00000000" w:rsidP="00000000" w:rsidRDefault="00000000" w:rsidRPr="00000000" w14:paraId="00000138">
      <w:pPr>
        <w:spacing w:after="150" w:lineRule="auto"/>
        <w:rPr>
          <w:rFonts w:ascii="IBM Plex Sans" w:cs="IBM Plex Sans" w:eastAsia="IBM Plex Sans" w:hAnsi="IBM Plex Sans"/>
          <w:sz w:val="24"/>
          <w:szCs w:val="24"/>
        </w:rPr>
      </w:pPr>
      <w:r>
        <w:rPr>
          <w:rtl w:val="0"/>
        </w:rPr>
      </w:r>
    </w:p>
    <w:p w:rsidR="00000000" w:rsidDel="00000000" w:rsidP="00000000" w:rsidRDefault="00000000" w:rsidRPr="00000000" w14:paraId="00000139">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Por qué importa este servicio: el sistema se vende una sola vez ($30.938.092 con margen), pero el plan Completo factura $1.581.000 al año en abonos más $488.250 en visitas, o sea unos $2.069.250 anuales por cliente. Con el sistema ya desarrollado, cada telar adicional que se sume al servicio es casi todo ganancia, y es lo que sostendría el proyecto una vez terminada la etapa escolar.</w:t>
      </w:r>
    </w:p>
    <w:p w:rsidR="00000000" w:rsidDel="00000000" w:rsidP="00000000" w:rsidRDefault="00000000" w:rsidRPr="00000000" w14:paraId="0000013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Diferencia con la garantía: la garantía (Sección 5) es gratuita, dura de 1 a 3 meses y solo cubre que lo entregado funcione como se acordó. El mantenimiento es pago, arranca cuando termina la garantía y cubre el desgaste normal, la evolución del software y los cambios que pida la fábrica.</w:t>
      </w:r>
    </w:p>
    <w:p w:rsidR="00000000" w:rsidDel="00000000" w:rsidP="00000000" w:rsidRDefault="00000000" w:rsidRPr="00000000" w14:paraId="0000013B">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 Respaldo y recuperación de datos</w:t>
      </w:r>
    </w:p>
    <w:p w:rsidR="00000000" w:rsidDel="00000000" w:rsidP="00000000" w:rsidRDefault="00000000" w:rsidRPr="00000000" w14:paraId="0000013C">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Todo lo que produce el sistema (los patrones dibujados, el historial de producción y los usuarios registrados) vive únicamente en la base de datos alojada en Neon. Si esa base se pierde o alguien borra un patrón por error, no hay forma de recuperarlo sin un respaldo. Este es, hoy, el punto más frágil del proyecto: el hardware se puede volver a comprar y el código está versionado en GitHub, pero los datos no tienen copia.</w:t>
      </w:r>
    </w:p>
    <w:p w:rsidR="00000000" w:rsidDel="00000000" w:rsidP="00000000" w:rsidRDefault="00000000" w:rsidRPr="00000000" w14:paraId="0000013D">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6.4.1 Lo que ya cubre Neon (sin costo adicional)</w:t>
      </w:r>
    </w:p>
    <w:p w:rsidR="00000000" w:rsidDel="00000000" w:rsidP="00000000" w:rsidRDefault="00000000" w:rsidRPr="00000000" w14:paraId="0000013E">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Neon guarda un registro continuo de cambios que permite "rebobinar" la base a un momento anterior (instant restore o point-in-time restore). En el plan gratuito que usa el proyecto, esa ventana es de 6 horas y está limitada a 1 GB de cambios. Alcanza para revertir un error detectado el mismo día -por ejemplo, si alguien borra un patrón y se da cuenta en el momento, pero no protege contra nada que se descubra al día siguiente, ni contra la pérdida de la cuenta entera.</w:t>
      </w:r>
    </w:p>
    <w:p w:rsidR="00000000" w:rsidDel="00000000" w:rsidP="00000000" w:rsidRDefault="00000000" w:rsidRPr="00000000" w14:paraId="0000013F">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6.4.2 Estrategia de respaldo propuesta</w:t>
      </w:r>
    </w:p>
    <w:p w:rsidR="00000000" w:rsidDel="00000000" w:rsidP="00000000" w:rsidRDefault="00000000" w:rsidRPr="00000000" w14:paraId="00000140">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Para cubrir lo que Neon no alcanza, se propone un esquema en tres capas, ordenado de menor a mayor esfuerzo de implementación:</w:t>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1, Restauración instantánea de Neon (ya activa):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ventana de 6 horas. Cubre el error humano detectado en el momento. No requiere ninguna acción del equipo.</w:t>
      </w:r>
      <w:r>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2, Respaldo automático diario a un repositorio externo: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una tarea programada de GitHub Actions que ejecuta pg_dump contra la base todas las noches y guarda el archivo comprimido. GitHub Actions ofrece minutos gratuitos en repositorios públicos, y un volcado de esta base pesa muy poco (son patrones e historial, no archivos pesados), por lo que el almacenamiento tampoco representa un costo. Es la capa que realmente protege el proyecto y la que conviene implementar antes de la entrega final.</w:t>
      </w:r>
      <w:r>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Capa 3, Copia manual antes de cada cambio importante: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exportar la base a mano desde el panel de Neon antes de correr una migración nueva o de una demostración. Es la red de seguridad para los momentos de mayor riesgo, y no cuesta nada más que un par de minutos.</w:t>
      </w:r>
      <w:r>
        <w:rPr>
          <w:rtl w:val="0"/>
        </w:rPr>
      </w:r>
    </w:p>
    <w:p w:rsidR="00000000" w:rsidDel="00000000" w:rsidP="00000000" w:rsidRDefault="00000000" w:rsidRPr="00000000" w14:paraId="00000144">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6.4.3 Recuperación: qué hacer si se pierden los datos</w:t>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el error se detecta dentro de las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usar la restauración instantánea desde el panel de Neon, eligiendo la fecha y hora anterior al problema. La base vuelve a ese estado sin cambiar la cadena de conexión, así que el backend y el ESP32 siguen funcionando sin tocar nada.</w:t>
      </w:r>
      <w:r>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pasaron más de 6 horas: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restaurar desde el último respaldo diario con pg_restore. Se pierde lo producido entre ese respaldo y el incidente, que como máximo es un día de trabajo.</w:t>
      </w:r>
      <w:r>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IBM Plex Sans" w:cs="IBM Plex Sans" w:eastAsia="IBM Plex Sans" w:hAnsi="IBM Plex Sans"/>
          <w:i w:val="0"/>
          <w:iCs w:val="0"/>
          <w:smallCaps w:val="0"/>
          <w:strike w:val="0"/>
          <w:color w:val="000000"/>
          <w:sz w:val="24"/>
          <w:szCs w:val="24"/>
          <w:shd w:fill="auto" w:val="clear"/>
          <w:vertAlign w:val="baseline"/>
        </w:rPr>
      </w:pPr>
      <w:r>
        <w:rPr>
          <w:rFonts w:ascii="IBM Plex Sans" w:cs="IBM Plex Sans" w:eastAsia="IBM Plex Sans" w:hAnsi="IBM Plex Sans"/>
          <w:b w:val="1"/>
          <w:bCs w:val="1"/>
          <w:i w:val="0"/>
          <w:iCs w:val="0"/>
          <w:smallCaps w:val="0"/>
          <w:strike w:val="0"/>
          <w:color w:val="000000"/>
          <w:sz w:val="24"/>
          <w:szCs w:val="24"/>
          <w:u w:val="none"/>
          <w:shd w:fill="auto" w:val="clear"/>
          <w:vertAlign w:val="baseline"/>
          <w:rtl w:val="0"/>
        </w:rPr>
        <w:t xml:space="preserve">Si se pierde la cuenta de Neon entera: </w:t>
      </w:r>
      <w:r>
        <w:rPr>
          <w:rFonts w:ascii="IBM Plex Sans" w:cs="IBM Plex Sans" w:eastAsia="IBM Plex Sans" w:hAnsi="IBM Plex Sans"/>
          <w:i w:val="0"/>
          <w:iCs w:val="0"/>
          <w:smallCaps w:val="0"/>
          <w:strike w:val="0"/>
          <w:color w:val="000000"/>
          <w:sz w:val="24"/>
          <w:szCs w:val="24"/>
          <w:u w:val="none"/>
          <w:shd w:fill="auto" w:val="clear"/>
          <w:vertAlign w:val="baseline"/>
          <w:rtl w:val="0"/>
        </w:rPr>
        <w:t xml:space="preserve">crear un proyecto nuevo, correr el esquema completo del repositorio y restaurar el último respaldo. El código y la estructura de la base están versionados en GitHub, así que solo hacen falta los datos.</w:t>
      </w:r>
      <w:r>
        <w:rPr>
          <w:rtl w:val="0"/>
        </w:rPr>
      </w:r>
    </w:p>
    <w:p w:rsidR="00000000" w:rsidDel="00000000" w:rsidP="00000000" w:rsidRDefault="00000000" w:rsidRPr="00000000" w14:paraId="00000148">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Prueba de restauración: un respaldo que nunca se probó no es un respaldo. Se recomienda incluir en cada visita de mantenimiento (Sección 6.3) una restauración de prueba sobre una base de desarrollo, para confirmar que el archivo sirve y que el procedimiento funciona.</w:t>
      </w:r>
    </w:p>
    <w:p w:rsidR="00000000" w:rsidDel="00000000" w:rsidP="00000000" w:rsidRDefault="00000000" w:rsidRPr="00000000" w14:paraId="00000149">
      <w:pPr>
        <w:pStyle w:val="Heading2"/>
        <w:spacing w:after="150" w:before="300" w:lineRule="auto"/>
        <w:rPr>
          <w:rFonts w:ascii="Questrial" w:cs="Questrial" w:eastAsia="Questrial" w:hAnsi="Questrial"/>
          <w:color w:val="1E3A5F"/>
          <w:sz w:val="30"/>
          <w:szCs w:val="30"/>
        </w:rPr>
      </w:pPr>
      <w:r>
        <w:rPr>
          <w:rFonts w:ascii="Questrial" w:cs="Questrial" w:eastAsia="Questrial" w:hAnsi="Questrial"/>
          <w:color w:val="1E3A5F"/>
          <w:sz w:val="30"/>
          <w:szCs w:val="30"/>
          <w:rtl w:val="0"/>
        </w:rPr>
        <w:t xml:space="preserve">6.4.4 Impacto en el costo</w:t>
      </w:r>
    </w:p>
    <w:p w:rsidR="00000000" w:rsidDel="00000000" w:rsidP="00000000" w:rsidRDefault="00000000" w:rsidRPr="00000000" w14:paraId="0000014A">
      <w:pPr>
        <w:spacing w:after="15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La estrategia propuesta no agrega costo de infraestructura: la restauración de Neon viene incluida en el plan actual, y el respaldo automático corre sobre herramientas ya disponibles para el proyecto. El único costo es el tiempo de implementación -estimado en 3 horas de desarrollo para dejar el respaldo automático configurado y probado, o $197.625 aplicando la tarifa y el margen del proyecto- y queda incluido dentro de los planes de mantenimiento de la Sección 6.3, sin cargo aparte.</w:t>
      </w:r>
    </w:p>
    <w:p w:rsidR="00000000" w:rsidDel="00000000" w:rsidP="00000000" w:rsidRDefault="00000000" w:rsidRPr="00000000" w14:paraId="0000014B">
      <w:pPr>
        <w:pStyle w:val="Heading1"/>
        <w:rPr>
          <w:rFonts w:ascii="Questrial" w:cs="Questrial" w:eastAsia="Questrial" w:hAnsi="Questrial"/>
          <w:color w:val="1E3A5F"/>
          <w:sz w:val="38"/>
          <w:szCs w:val="38"/>
        </w:rPr>
      </w:pPr>
      <w:r>
        <w:rPr>
          <w:rtl w:val="0"/>
        </w:rPr>
      </w:r>
    </w:p>
    <w:p w:rsidR="00000000" w:rsidDel="00000000" w:rsidP="00000000" w:rsidRDefault="00000000" w:rsidRPr="00000000" w14:paraId="0000014C">
      <w:pPr>
        <w:pStyle w:val="Heading1"/>
        <w:rPr>
          <w:rFonts w:ascii="Questrial" w:cs="Questrial" w:eastAsia="Questrial" w:hAnsi="Questrial"/>
          <w:color w:val="1E3A5F"/>
          <w:sz w:val="38"/>
          <w:szCs w:val="38"/>
        </w:rPr>
      </w:pPr>
      <w:r>
        <w:rPr>
          <w:rFonts w:ascii="Questrial" w:cs="Questrial" w:eastAsia="Questrial" w:hAnsi="Questrial"/>
          <w:color w:val="1E3A5F"/>
          <w:sz w:val="38"/>
          <w:szCs w:val="38"/>
          <w:rtl w:val="0"/>
        </w:rPr>
        <w:t xml:space="preserve">7. Conclusión</w:t>
      </w:r>
    </w:p>
    <w:p w:rsidR="00000000" w:rsidDel="00000000" w:rsidP="00000000" w:rsidRDefault="00000000" w:rsidRPr="00000000" w14:paraId="0000014D">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El proyecto tiene un costo total estimado de $24.750.474, compuesto casi en su totalidad (99,2%) por el valor del trabajo del equipo y solo marginalmente (0,8%, $71.150) por dinero que realmente hay que desembolsar en componentes y gastos operativos. Con el margen del 25% ya usado en la plantilla original, el presupuesto final asciende a $30.938.092, dejando una ganancia proyectada de $6.187.618.</w:t>
      </w:r>
    </w:p>
    <w:p w:rsidR="00000000" w:rsidDel="00000000" w:rsidP="00000000" w:rsidRDefault="00000000" w:rsidRPr="00000000" w14:paraId="0000014E">
      <w:pPr>
        <w:spacing w:after="200" w:lineRule="auto"/>
        <w:rPr>
          <w:rFonts w:ascii="IBM Plex Sans" w:cs="IBM Plex Sans" w:eastAsia="IBM Plex Sans" w:hAnsi="IBM Plex Sans"/>
          <w:sz w:val="24"/>
          <w:szCs w:val="24"/>
        </w:rPr>
      </w:pPr>
      <w:r>
        <w:rPr>
          <w:rFonts w:ascii="IBM Plex Sans" w:cs="IBM Plex Sans" w:eastAsia="IBM Plex Sans" w:hAnsi="IBM Plex Sans"/>
          <w:sz w:val="24"/>
          <w:szCs w:val="24"/>
          <w:rtl w:val="0"/>
        </w:rPr>
        <w:t xml:space="preserve">Quedan cuatro decisiones abiertas para el equipo antes de la 3ra presentación (mediados de septiembre): definir la modalidad de inversión real, fijar la vigencia exacta de la garantía dentro del rango de 1 a 3 meses, decidir con qué frecuencia recalcular el presupuesto por el tipo de cambio, y definir los precios finales del servicio de mantenimiento (Sección 6.3), que hoy figuran como valores de referencia calculados sobre las tarifas del proyecto.</w:t>
      </w:r>
    </w:p>
    <w:p w:rsidR="00000000" w:rsidDel="00000000" w:rsidP="00000000" w:rsidRDefault="00000000" w:rsidRPr="00000000" w14:paraId="0000014F">
      <w:pPr>
        <w:spacing w:after="200" w:lineRule="auto"/>
        <w:rPr>
          <w:rFonts w:ascii="IBM Plex Sans" w:cs="IBM Plex Sans" w:eastAsia="IBM Plex Sans" w:hAnsi="IBM Plex Sans"/>
          <w:sz w:val="24"/>
          <w:szCs w:val="24"/>
        </w:rPr>
      </w:pPr>
      <w:r>
        <w:rPr>
          <w:rtl w:val="0"/>
        </w:rPr>
      </w:r>
    </w:p>
    <w:sectPr>
      <w:headerReference r:id="rId7" w:type="default"/>
      <w:footerReference r:id="rId8" w:type="default"/>
      <w:pgSz w:h="23811" w:w="16838" w:orient="portrait"/>
      <w:pgMar w:bottom="1080" w:top="1080" w:left="720" w:right="72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Arial Unicode M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center"/>
      <w:rPr/>
    </w:pPr>
    <w:r w:rsidDel="00000000" w:rsidR="00000000" w:rsidRPr="00000000">
      <w:rPr>
        <w:color w:val="808080"/>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0">
    <w:pPr>
      <w:jc w:val="right"/>
      <w:rPr/>
    </w:pPr>
    <w:r w:rsidDel="00000000" w:rsidR="00000000" w:rsidRPr="00000000">
      <w:rPr>
        <w:color w:val="808080"/>
        <w:sz w:val="16"/>
        <w:szCs w:val="16"/>
        <w:rtl w:val="0"/>
      </w:rPr>
      <w:t xml:space="preserve">Automatización de Telar Industrial, Control de Inserción de Trama</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A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Questrial" w:cs="Questrial" w:eastAsia="Questrial" w:hAnsi="Questrial"/>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563c1"/>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style>
  <w:style w:type="character" w:styleId="EndnoteTextChar" w:customStyle="1">
    <w:name w:val="Endnote Text Char"/>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FEIeqREPG3UaY0jxmYhEs+e+/g==">CgMxLjAaJAoBMBIfCh0IB0IZCgVBcmlhbBIQQXJpYWwgVW5pY29kZSBNUxokCgExEh8KHQgHQhkKBUFyaWFsEhBBcmlhbCBVbmljb2RlIE1TGiQKATISHwodCAdCGQoFQXJpYWwSEEFyaWFsIFVuaWNvZGUgTVM4AHIhMTNtQk43R0dCMFJrVjJIelhOaXFCVkI0WEtKYzYyZGVw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2026-08-08T00:02:00Z</dcterms:created>
  <dc:creator>Un-named</dc:creator>
</cp:coreProperties>
</file>