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10000000">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1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keepNext/>
        <w:spacing w:after="240" w:before="480" w:lineRule="auto"/>
        <w:rPr>
          <w:rFonts w:ascii="Questrial" w:cs="Questrial" w:eastAsia="Questrial" w:hAnsi="Questrial"/>
        </w:rPr>
      </w:pPr>
      <w:sdt>
        <w:sdtPr>
          <w:tag w:val="goog_rdk_0"/>
          <w:id w:val="-1690116994"/>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0"/>
        <w:gridCol w:w="1400"/>
        <w:gridCol w:w="1800"/>
        <w:gridCol w:w="4428"/>
      </w:tblGrid>
      <w:tr>
        <w:trPr>
          <w:cantSplit/>
          <w:tblHeader/>
        </w:trPr>
        <w:tc>
          <w:tcPr>
            <w:tcW w:type="dxa" w:w="1200"/>
            <w:shd w:fill="1E3A5F" w:val="clear"/>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1400"/>
            <w:shd w:fill="1E3A5F" w:val="clear"/>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1800"/>
            <w:shd w:fill="1E3A5F" w:val="clear"/>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4428"/>
            <w:shd w:fill="1E3A5F" w:val="clear"/>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rPr>
          <w:cantSplit/>
        </w:trP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 y quedan terminadas las cinco plaquetas soldadas del gabinete.</w:t>
            </w:r>
          </w:p>
        </w:tc>
      </w:tr>
    </w:tbl>
    <w:p>
      <w:pPr>
        <w:jc w:val="center"/>
      </w:pPr>
      <w:r>
        <w:rPr>
          <w:rFonts w:ascii="IBM Plex Sans" w:hAnsi="IBM Plex Sans" w:cs="IBM Plex Sans" w:eastAsia="IBM Plex Sans"/>
          <w:i/>
          <w:color w:val="606060"/>
          <w:sz w:val="18"/>
        </w:rPr>
        <w:t>Tabla 1. Control de cambios del documento.</w:t>
      </w:r>
    </w:p>
    <w:p>
      <w:pPr>
        <w:keepNext/>
        <w:jc w:val="left"/>
      </w:pPr>
      <w:r>
        <w:rPr>
          <w:rFonts w:ascii="IBM Plex Sans" w:hAnsi="IBM Plex Sans" w:cs="IBM Plex Sans" w:eastAsia="IBM Plex Sans"/>
          <w:b/>
          <w:color w:val="1E3A5F"/>
          <w:sz w:val="32"/>
        </w:rPr>
        <w:t>Índice</w:t>
      </w:r>
    </w:p>
    <w:p>
      <w:pPr>
        <w:pStyle w:val="Normal"/>
        <w:keepNext/>
      </w:pPr>
      <w:r>
        <w:rPr>
          <w:rFonts w:ascii="IBM Plex Sans" w:hAnsi="IBM Plex Sans"/>
          <w:b/>
          <w:sz w:val="22"/>
        </w:rPr>
        <w:t>1. Control de Cambios</w:t>
      </w:r>
    </w:p>
    <w:p>
      <w:pPr>
        <w:pStyle w:val="Normal"/>
        <w:keepNext/>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keepNext/>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keepNext/>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Requerimientos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keepNext/>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keepNext/>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keepNext/>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keepNext/>
      </w:pPr>
      <w:r>
        <w:rPr>
          <w:rFonts w:ascii="IBM Plex Sans" w:hAnsi="IBM Plex Sans"/>
          <w:b/>
          <w:sz w:val="22"/>
        </w:rPr>
        <w:t>8. Estimación Económica</w:t>
      </w:r>
    </w:p>
    <w:p>
      <w:pPr>
        <w:pStyle w:val="Normal"/>
        <w:keepNext/>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keepNext/>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keepNext/>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keepNext/>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keepNext/>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 xml:space="preserve">Nivel 2 (Evolución por Marcos, intervención de las bobinas de selección):</w:t>
      </w:r>
      <w:r>
        <w:rPr>
          <w:rFonts w:ascii="IBM Plex Sans" w:cs="IBM Plex Sans" w:eastAsia="IBM Plex Sans" w:hAnsi="IBM Plex Sans"/>
          <w:rtl w:val="0"/>
        </w:rPr>
        <w:t xml:space="preserve">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Las cinco plaquetas soldadas para la instalación definitiva ya están terminadas (20/10/2026); faltan los otros tres canales y la instalación del gabinete en la planta.</w:t>
      </w:r>
    </w:p>
    <w:p w:rsidR="00000000" w:rsidDel="00000000" w:rsidP="00000000" w:rsidRDefault="00000000" w:rsidRPr="00000000" w14:paraId="00000018">
      <w:pPr>
        <w:pStyle w:val="Heading2"/>
        <w:keepNext/>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keepNext/>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keepNext/>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keepNext/>
        <w:spacing w:after="240" w:before="480" w:lineRule="auto"/>
        <w:rPr>
          <w:rFonts w:ascii="Questrial" w:cs="Questrial" w:eastAsia="Questrial" w:hAnsi="Questrial"/>
        </w:rPr>
      </w:pPr>
      <w:sdt>
        <w:sdtPr>
          <w:tag w:val="goog_rdk_2"/>
          <w:id w:val="-1289148406"/>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8"/>
        <w:gridCol w:w="2306"/>
        <w:gridCol w:w="5324"/>
      </w:tblGrid>
      <w:tr>
        <w:trPr>
          <w:cantSplit/>
          <w:tblHeader/>
        </w:trPr>
        <w:tc>
          <w:tcPr>
            <w:tcW w:type="dxa" w:w="1208"/>
            <w:shd w:fill="1E3A5F" w:val="clear"/>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306"/>
            <w:shd w:fill="1E3A5F" w:val="clear"/>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5324"/>
            <w:shd w:fill="1E3A5F" w:val="clear"/>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2.5. </w:t>
      </w:r>
      <w:sdt>
        <w:sdtPr>
          <w:tag w:val="goog_rdk_3"/>
          <w:id w:val="-739768586"/>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tag w:val="goog_rdk_5"/>
        <w:id w:val="-1896813583"/>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tag w:val="goog_rdk_4"/>
              <w:id w:val="-691364369"/>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10000002">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10000003">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10000004">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10000005">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10000006">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10000007">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keepNext/>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10000008">
      <w:pPr>
        <w:pStyle w:val="Heading1"/>
        <w:keepNext/>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10000009">
      <w:pPr>
        <w:pStyle w:val="Heading2"/>
        <w:keepNext/>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keepNext/>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tag w:val="goog_rdk_6"/>
          <w:id w:val="-1618442297"/>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la pestaña «Clientes» de la pantalla de ingreso, con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keepNext/>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keepNext/>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50"/>
        <w:gridCol w:w="1765"/>
        <w:gridCol w:w="2769"/>
        <w:gridCol w:w="2044"/>
        <w:tblGridChange w:id="0">
          <w:tblGrid>
            <w:gridCol w:w="1916"/>
            <w:gridCol w:w="1765"/>
            <w:gridCol w:w="3103"/>
            <w:gridCol w:w="2044"/>
          </w:tblGrid>
        </w:tblGridChange>
      </w:tblGrid>
      <w:tr>
        <w:trPr>
          <w:cantSplit/>
          <w:tblHeader/>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 tejiendo, pausado o 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3.2.3. </w:t>
      </w:r>
      <w:sdt>
        <w:sdtPr>
          <w:tag w:val="goog_rdk_7"/>
          <w:id w:val="-793607245"/>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keepNext/>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patrones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metadata               JSONB,            -- ej: {"tipo": "Tafetán"}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telares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 NOT NULL UNIQUE,   -- ej: "TELAR-01"</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'apagado'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('apagado','tejiendo','pausado','error')),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historial_produccion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fecha_inicio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keepNext/>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Una sola producción abierta por telar: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WHERE estado =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errores_log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titulo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mensaje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accesos_cliente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cliente_nombre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clave_hash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clave_cifrada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creada_por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usuarios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webauthn_id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recovery_hash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credenciales_biometricas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credential_id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public_key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counter        BIGINT NOT NULL DEFAULT 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keepNext/>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keepNext/>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9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"filas": 4,</w:t>
      </w:r>
    </w:p>
    <w:p w:rsidR="00000000" w:rsidDel="00000000" w:rsidP="00000000" w:rsidRDefault="00000000" w:rsidRPr="00000000" w14:paraId="0000009E">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"columnas": 4,</w:t>
      </w:r>
    </w:p>
    <w:p w:rsidR="00000000" w:rsidDel="00000000" w:rsidP="00000000" w:rsidRDefault="00000000" w:rsidRPr="00000000" w14:paraId="0000009F">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"matriz_pasadas": [</w:t>
      </w:r>
    </w:p>
    <w:p w:rsidR="00000000" w:rsidDel="00000000" w:rsidP="00000000" w:rsidRDefault="00000000" w:rsidRPr="00000000" w14:paraId="000000A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1">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2">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3">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4">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14:paraId="000000A5">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"matriz_ligamento": [</w:t>
      </w:r>
    </w:p>
    <w:p w:rsidR="00000000" w:rsidDel="00000000" w:rsidP="00000000" w:rsidRDefault="00000000" w:rsidRPr="00000000" w14:paraId="000000A6">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7">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8">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9">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A">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AD">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3.3. </w:t>
      </w:r>
      <w:sdt>
        <w:sdtPr>
          <w:tag w:val="goog_rdk_8"/>
          <w:id w:val="-1525466884"/>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625"/>
        <w:gridCol w:w="3212"/>
        <w:gridCol w:w="4001"/>
      </w:tblGrid>
      <w:tr>
        <w:trPr>
          <w:cantSplit/>
          <w:tblHeader/>
        </w:trPr>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3212"/>
            <w:shd w:fill="1E3A5F" w:val="clear"/>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4001"/>
            <w:shd w:fill="1E3A5F" w:val="clear"/>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keepNext/>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keepNext/>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keepNext/>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keepNext/>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keepNext/>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keepNext/>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00"/>
        <w:gridCol w:w="1800"/>
        <w:gridCol w:w="4195"/>
        <w:tblGridChange w:id="0">
          <w:tblGrid>
            <w:gridCol w:w="2730"/>
            <w:gridCol w:w="1890"/>
            <w:gridCol w:w="4275"/>
          </w:tblGrid>
        </w:tblGridChange>
      </w:tblGrid>
      <w:tr>
        <w:trPr>
          <w:cantSplit/>
          <w:trHeight w:val="205" w:hRule="atLeast"/>
          <w:tblHeader/>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keepNext/>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keepNext/>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3.4.8. </w:t>
      </w:r>
      <w:sdt>
        <w:sdtPr>
          <w:tag w:val="goog_rdk_9"/>
          <w:id w:val="361606423"/>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 xml:space="preserve">Inmunidad crítica ambiental:</w:t>
      </w:r>
      <w:r>
        <w:rPr>
          <w:rFonts w:ascii="IBM Plex Sans" w:cs="IBM Plex Sans" w:eastAsia="IBM Plex Sans" w:hAnsi="IBM Plex Sans"/>
          <w:rtl w:val="0"/>
        </w:rPr>
        <w:t xml:space="preserve">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1000000A">
      <w:pPr>
        <w:numPr>
          <w:ilvl w:val="0"/>
          <w:numId w:val="3"/>
        </w:numPr>
        <w:spacing w:before="200" w:lineRule="auto"/>
        <w:ind w:left="720" w:hanging="360"/>
        <w:jc w:val="both"/>
        <w:rPr/>
      </w:pPr>
      <w:r>
        <w:rPr>
          <w:rFonts w:ascii="IBM Plex Sans" w:cs="IBM Plex Sans" w:eastAsia="IBM Plex Sans" w:hAnsi="IBM Plex Sans"/>
          <w:b w:val="1"/>
          <w:bCs w:val="1"/>
          <w:rtl w:val="0"/>
        </w:rPr>
        <w:t xml:space="preserve">Respaldo y recuperación de datos:</w:t>
      </w:r>
      <w:r>
        <w:rPr>
          <w:rFonts w:ascii="IBM Plex Sans" w:cs="IBM Plex Sans" w:eastAsia="IBM Plex Sans" w:hAnsi="IBM Plex Sans"/>
          <w:rtl w:val="0"/>
        </w:rPr>
        <w:t xml:space="preserve">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p>
    <w:p w:rsidR="00000000" w:rsidDel="00000000" w:rsidP="00000000" w:rsidRDefault="00000000" w:rsidRPr="00000000" w14:paraId="000000D5">
      <w:pPr>
        <w:pStyle w:val="Heading2"/>
        <w:keepNext/>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keepNext/>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keepNext/>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keepNext/>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keepNext/>
        <w:spacing w:after="240" w:before="480" w:lineRule="auto"/>
        <w:rPr>
          <w:rFonts w:ascii="Questrial" w:cs="Questrial" w:eastAsia="Questrial" w:hAnsi="Questrial"/>
        </w:rPr>
      </w:pPr>
      <w:sdt>
        <w:sdtPr>
          <w:tag w:val="goog_rdk_10"/>
          <w:id w:val="1427354661"/>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680"/>
        <w:gridCol w:w="1730"/>
        <w:gridCol w:w="1100"/>
        <w:gridCol w:w="2423"/>
        <w:gridCol w:w="1385"/>
        <w:gridCol w:w="1520"/>
      </w:tblGrid>
      <w:tr>
        <w:trPr>
          <w:cantSplit/>
          <w:tblHeader/>
        </w:trPr>
        <w:tc>
          <w:tcPr>
            <w:tcW w:type="dxa" w:w="680"/>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100"/>
            <w:shd w:fill="1E3A5F" w:val="clear"/>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2423"/>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4.2. </w:t>
      </w:r>
      <w:sdt>
        <w:sdtPr>
          <w:tag w:val="goog_rdk_12"/>
          <w:id w:val="1345811660"/>
        </w:sdtPr>
        <w:sdtContent>
          <w:commentRangeStart w:id="9"/>
        </w:sdtContent>
      </w:sdt>
      <w:r>
        <w:rPr>
          <w:rFonts w:ascii="Questrial" w:cs="Questrial" w:eastAsia="Questrial" w:hAnsi="Questrial"/>
          <w:rtl w:val="0"/>
        </w:rPr>
        <w:t>Requerimientos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730"/>
        <w:gridCol w:w="1625"/>
        <w:gridCol w:w="3315"/>
        <w:gridCol w:w="138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3315"/>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keepNext/>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310"/>
        <w:gridCol w:w="890"/>
        <w:gridCol w:w="2370"/>
        <w:gridCol w:w="1963"/>
        <w:gridCol w:w="1520"/>
      </w:tblGrid>
      <w:tr>
        <w:trPr>
          <w:cantSplit/>
          <w:tblHeader/>
        </w:trPr>
        <w:tc>
          <w:tcPr>
            <w:tcW w:type="dxa" w:w="785"/>
            <w:shd w:fill="1E3A5F" w:val="clear"/>
          </w:tcPr>
          <w:p>
            <w:pPr>
              <w:jc w:val="left"/>
            </w:pPr>
            <w:r/>
            <w:r>
              <w:rPr>
                <w:rFonts w:ascii="IBM Plex Sans" w:hAnsi="IBM Plex Sans"/>
                <w:sz w:val="18"/>
              </w:rPr>
              <w:t>ID</w:t>
            </w:r>
          </w:p>
        </w:tc>
        <w:tc>
          <w:tcPr>
            <w:tcW w:type="dxa" w:w="1310"/>
            <w:shd w:fill="1E3A5F" w:val="clear"/>
          </w:tcPr>
          <w:p>
            <w:pPr>
              <w:jc w:val="left"/>
            </w:pPr>
            <w:r/>
            <w:r>
              <w:rPr>
                <w:rFonts w:ascii="IBM Plex Sans" w:hAnsi="IBM Plex Sans"/>
                <w:sz w:val="18"/>
              </w:rPr>
              <w:t>Interfaz</w:t>
            </w:r>
          </w:p>
        </w:tc>
        <w:tc>
          <w:tcPr>
            <w:tcW w:type="dxa" w:w="890"/>
            <w:shd w:fill="1E3A5F" w:val="clear"/>
          </w:tcPr>
          <w:p>
            <w:pPr>
              <w:jc w:val="left"/>
            </w:pPr>
            <w:r/>
            <w:r>
              <w:rPr>
                <w:rFonts w:ascii="IBM Plex Sans" w:hAnsi="IBM Plex Sans"/>
                <w:sz w:val="18"/>
              </w:rPr>
              <w:t>Tipo</w:t>
            </w:r>
          </w:p>
        </w:tc>
        <w:tc>
          <w:tcPr>
            <w:tcW w:type="dxa" w:w="2370"/>
            <w:shd w:fill="1E3A5F" w:val="clear"/>
          </w:tcPr>
          <w:p>
            <w:pPr>
              <w:jc w:val="left"/>
            </w:pPr>
            <w:r/>
            <w:r>
              <w:rPr>
                <w:rFonts w:ascii="IBM Plex Sans" w:hAnsi="IBM Plex Sans"/>
                <w:sz w:val="18"/>
              </w:rPr>
              <w:t>Descripción</w:t>
            </w:r>
          </w:p>
        </w:tc>
        <w:tc>
          <w:tcPr>
            <w:tcW w:type="dxa" w:w="1963"/>
            <w:shd w:fill="1E3A5F" w:val="clear"/>
          </w:tcPr>
          <w:p>
            <w:pPr>
              <w:jc w:val="left"/>
            </w:pPr>
            <w:r/>
            <w:r>
              <w:rPr>
                <w:rFonts w:ascii="IBM Plex Sans" w:hAnsi="IBM Plex Sans"/>
                <w:sz w:val="18"/>
              </w:rPr>
              <w:t>Restricción de entorno</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785"/>
          </w:tcPr>
          <w:p>
            <w:pPr>
              <w:jc w:val="left"/>
            </w:pPr>
            <w:r/>
            <w:r>
              <w:rPr>
                <w:rFonts w:ascii="IBM Plex Sans" w:hAnsi="IBM Plex Sans"/>
                <w:sz w:val="18"/>
              </w:rPr>
              <w:t>RIU01</w:t>
            </w:r>
          </w:p>
        </w:tc>
        <w:tc>
          <w:tcPr>
            <w:tcW w:type="dxa" w:w="1310"/>
          </w:tcPr>
          <w:p>
            <w:pPr>
              <w:jc w:val="left"/>
            </w:pPr>
            <w:r/>
            <w:r>
              <w:rPr>
                <w:rFonts w:ascii="IBM Plex Sans" w:hAnsi="IBM Plex Sans"/>
                <w:sz w:val="18"/>
              </w:rPr>
              <w:t>Pantalla de ingreso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Acceso mediante huella dactilar, con recuperación por código fijo para el caso de que el lector falle.</w:t>
            </w:r>
          </w:p>
        </w:tc>
        <w:tc>
          <w:tcPr>
            <w:tcW w:type="dxa" w:w="1963"/>
          </w:tcPr>
          <w:p>
            <w:pPr>
              <w:jc w:val="left"/>
            </w:pPr>
            <w:r/>
            <w:r>
              <w:rPr>
                <w:rFonts w:ascii="IBM Plex Sans" w:hAnsi="IBM Plex Sans"/>
                <w:sz w:val="18"/>
              </w:rPr>
              <w:t>Debe operarse con una sola mano. La huella se lee con el dedo descubierto, sin guante.</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RIU02</w:t>
            </w:r>
          </w:p>
        </w:tc>
        <w:tc>
          <w:tcPr>
            <w:tcW w:type="dxa" w:w="1310"/>
          </w:tcPr>
          <w:p>
            <w:pPr>
              <w:jc w:val="left"/>
            </w:pPr>
            <w:r/>
            <w:r>
              <w:rPr>
                <w:rFonts w:ascii="IBM Plex Sans" w:hAnsi="IBM Plex Sans"/>
                <w:sz w:val="18"/>
              </w:rPr>
              <w:t>Pantalla de inicio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Sesión iniciada, dibujo en edición y accesos a las funciones principales (el estado del telar se ve en el Editor).</w:t>
            </w:r>
          </w:p>
        </w:tc>
        <w:tc>
          <w:tcPr>
            <w:tcW w:type="dxa" w:w="1963"/>
          </w:tcPr>
          <w:p>
            <w:pPr>
              <w:jc w:val="left"/>
            </w:pPr>
            <w:r/>
            <w:r>
              <w:rPr>
                <w:rFonts w:ascii="IBM Plex Sans" w:hAnsi="IBM Plex Sans"/>
                <w:sz w:val="18"/>
              </w:rPr>
              <w:t>Legible a un metro de distancia.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RIU03</w:t>
            </w:r>
          </w:p>
        </w:tc>
        <w:tc>
          <w:tcPr>
            <w:tcW w:type="dxa" w:w="1310"/>
          </w:tcPr>
          <w:p>
            <w:pPr>
              <w:jc w:val="left"/>
            </w:pPr>
            <w:r/>
            <w:r>
              <w:rPr>
                <w:rFonts w:ascii="IBM Plex Sans" w:hAnsi="IBM Plex Sans"/>
                <w:sz w:val="18"/>
              </w:rPr>
              <w:t>Editor de dibujo</w:t>
            </w:r>
          </w:p>
        </w:tc>
        <w:tc>
          <w:tcPr>
            <w:tcW w:type="dxa" w:w="890"/>
          </w:tcPr>
          <w:p>
            <w:pPr>
              <w:jc w:val="left"/>
            </w:pPr>
            <w:r/>
            <w:r>
              <w:rPr>
                <w:rFonts w:ascii="IBM Plex Sans" w:hAnsi="IBM Plex Sans"/>
                <w:sz w:val="18"/>
              </w:rPr>
              <w:t>Visual y táctil</w:t>
            </w:r>
          </w:p>
        </w:tc>
        <w:tc>
          <w:tcPr>
            <w:tcW w:type="dxa" w:w="2370"/>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96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RIU04</w:t>
            </w:r>
          </w:p>
        </w:tc>
        <w:tc>
          <w:tcPr>
            <w:tcW w:type="dxa" w:w="1310"/>
          </w:tcPr>
          <w:p>
            <w:pPr>
              <w:jc w:val="left"/>
            </w:pPr>
            <w:r/>
            <w:r>
              <w:rPr>
                <w:rFonts w:ascii="IBM Plex Sans" w:hAnsi="IBM Plex Sans"/>
                <w:sz w:val="18"/>
              </w:rPr>
              <w:t>Controles de ejecución</w:t>
            </w:r>
          </w:p>
        </w:tc>
        <w:tc>
          <w:tcPr>
            <w:tcW w:type="dxa" w:w="890"/>
          </w:tcPr>
          <w:p>
            <w:pPr>
              <w:jc w:val="left"/>
            </w:pPr>
            <w:r/>
            <w:r>
              <w:rPr>
                <w:rFonts w:ascii="IBM Plex Sans" w:hAnsi="IBM Plex Sans"/>
                <w:sz w:val="18"/>
              </w:rPr>
              <w:t>Táctil</w:t>
            </w:r>
          </w:p>
        </w:tc>
        <w:tc>
          <w:tcPr>
            <w:tcW w:type="dxa" w:w="2370"/>
          </w:tcPr>
          <w:p>
            <w:pPr>
              <w:jc w:val="left"/>
            </w:pPr>
            <w:r/>
            <w:r>
              <w:rPr>
                <w:rFonts w:ascii="IBM Plex Sans" w:hAnsi="IBM Plex Sans"/>
                <w:sz w:val="18"/>
              </w:rPr>
              <w:t>Botones de Marcha, Pausa y Retroceder, correspondientes a los tres relés del nodo. Se pueden apagar desde la página (solo sensado).</w:t>
            </w:r>
          </w:p>
        </w:tc>
        <w:tc>
          <w:tcPr>
            <w:tcW w:type="dxa" w:w="1963"/>
          </w:tcPr>
          <w:p>
            <w:pPr>
              <w:jc w:val="left"/>
            </w:pPr>
            <w:r/>
            <w:r>
              <w:rPr>
                <w:rFonts w:ascii="IBM Plex Sans" w:hAnsi="IBM Plex Sans"/>
                <w:sz w:val="18"/>
              </w:rPr>
              <w:t>Separación suficiente para evitar pulsaciones accidentales.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RIU05</w:t>
            </w:r>
          </w:p>
        </w:tc>
        <w:tc>
          <w:tcPr>
            <w:tcW w:type="dxa" w:w="1310"/>
          </w:tcPr>
          <w:p>
            <w:pPr>
              <w:jc w:val="left"/>
            </w:pPr>
            <w:r/>
            <w:r>
              <w:rPr>
                <w:rFonts w:ascii="IBM Plex Sans" w:hAnsi="IBM Plex Sans"/>
                <w:sz w:val="18"/>
              </w:rPr>
              <w:t>Biblioteca de dibujos</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Listado de los dibujos guardados, con búsqueda por nombre.</w:t>
            </w:r>
          </w:p>
        </w:tc>
        <w:tc>
          <w:tcPr>
            <w:tcW w:type="dxa" w:w="1963"/>
          </w:tcPr>
          <w:p>
            <w:pPr>
              <w:jc w:val="left"/>
            </w:pPr>
            <w:r/>
            <w:r>
              <w:rPr>
                <w:rFonts w:ascii="IBM Plex Sans" w:hAnsi="IBM Plex Sans"/>
                <w:sz w:val="18"/>
              </w:rPr>
              <w:t>Contraste alto sobre fondo claro u oscuro.</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RIU06</w:t>
            </w:r>
          </w:p>
        </w:tc>
        <w:tc>
          <w:tcPr>
            <w:tcW w:type="dxa" w:w="1310"/>
          </w:tcPr>
          <w:p>
            <w:pPr>
              <w:jc w:val="left"/>
            </w:pPr>
            <w:r/>
            <w:r>
              <w:rPr>
                <w:rFonts w:ascii="IBM Plex Sans" w:hAnsi="IBM Plex Sans"/>
                <w:sz w:val="18"/>
              </w:rPr>
              <w:t>Avisos del sistema</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Mensajes emergentes que informan el resultado de cada acción y el motivo de los errores.</w:t>
            </w:r>
          </w:p>
        </w:tc>
        <w:tc>
          <w:tcPr>
            <w:tcW w:type="dxa" w:w="1963"/>
          </w:tcPr>
          <w:p>
            <w:pPr>
              <w:jc w:val="left"/>
            </w:pPr>
            <w:r/>
            <w:r>
              <w:rPr>
                <w:rFonts w:ascii="IBM Plex Sans" w:hAnsi="IBM Plex Sans"/>
                <w:sz w:val="18"/>
              </w:rPr>
              <w:t>No se usan avisos sonoros: el ambiente supera los 99 dB.</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RIU07</w:t>
            </w:r>
          </w:p>
        </w:tc>
        <w:tc>
          <w:tcPr>
            <w:tcW w:type="dxa" w:w="1310"/>
          </w:tcPr>
          <w:p>
            <w:pPr>
              <w:jc w:val="left"/>
            </w:pPr>
            <w:r/>
            <w:r>
              <w:rPr>
                <w:rFonts w:ascii="IBM Plex Sans" w:hAnsi="IBM Plex Sans"/>
                <w:sz w:val="18"/>
              </w:rPr>
              <w:t>Modo oscuro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Alternancia entre paleta clara y oscura, para reducir la fatiga visual en jornadas largas.</w:t>
            </w:r>
          </w:p>
        </w:tc>
        <w:tc>
          <w:tcPr>
            <w:tcW w:type="dxa" w:w="1963"/>
          </w:tcPr>
          <w:p>
            <w:pPr>
              <w:jc w:val="left"/>
            </w:pPr>
            <w:r/>
            <w:r>
              <w:rPr>
                <w:rFonts w:ascii="IBM Plex Sans" w:hAnsi="IBM Plex Sans"/>
                <w:sz w:val="18"/>
              </w:rPr>
              <w:t>En las dos paletas, el texto principal y el color de acento superan la relación AAA (7:1); el texto tenue cumple la AA (4,5:1).</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 xml:space="preserve">RIU08</w:t>
            </w:r>
          </w:p>
        </w:tc>
        <w:tc>
          <w:tcPr>
            <w:tcW w:type="dxa" w:w="1310"/>
          </w:tcPr>
          <w:p>
            <w:pPr>
              <w:jc w:val="left"/>
            </w:pPr>
            <w:r/>
            <w:r>
              <w:rPr>
                <w:rFonts w:ascii="IBM Plex Sans" w:hAnsi="IBM Plex Sans"/>
                <w:sz w:val="18"/>
              </w:rPr>
              <w:t xml:space="preserve">Vista del cliente</w:t>
            </w:r>
          </w:p>
        </w:tc>
        <w:tc>
          <w:tcPr>
            <w:tcW w:type="dxa" w:w="890"/>
          </w:tcPr>
          <w:p>
            <w:pPr>
              <w:jc w:val="left"/>
            </w:pPr>
            <w:r/>
            <w:r>
              <w:rPr>
                <w:rFonts w:ascii="IBM Plex Sans" w:hAnsi="IBM Plex Sans"/>
                <w:sz w:val="18"/>
              </w:rPr>
              <w:t xml:space="preserve">Visual</w:t>
            </w:r>
          </w:p>
        </w:tc>
        <w:tc>
          <w:tcPr>
            <w:tcW w:type="dxa" w:w="2370"/>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963"/>
          </w:tcPr>
          <w:p>
            <w:pPr>
              <w:jc w:val="left"/>
            </w:pPr>
            <w:r/>
            <w:r>
              <w:rPr>
                <w:rFonts w:ascii="IBM Plex Sans" w:hAnsi="IBM Plex Sans"/>
                <w:sz w:val="18"/>
              </w:rPr>
              <w:t xml:space="preserve">Sin ningún control del telar. Se actualiza sola cada 15 segundos.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keepNext/>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keepNext/>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la pestaña «Clientes» de la pantalla de ingreso, con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1000000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1000000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D">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E">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tag w:val="goog_rdk_13"/>
          <w:id w:val="-381068389"/>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F">
      <w:pPr>
        <w:keepNext/>
        <w:spacing w:before="0" w:lineRule="auto"/>
        <w:jc w:val="center"/>
        <w:rPr>
          <w:rFonts w:ascii="IBM Plex Sans" w:cs="IBM Plex Sans" w:eastAsia="IBM Plex Sans" w:hAnsi="IBM Plex Sans"/>
        </w:rPr>
      </w:pPr>
      <w:sdt>
        <w:sdtPr>
          <w:tag w:val="goog_rdk_13"/>
          <w:id w:val="-381068389"/>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rsidR="00000000" w:rsidDel="00000000" w:rsidP="00000000" w:rsidRDefault="00000000" w:rsidRPr="00000000" w14:paraId="68FBAB23">
      <w:pPr>
        <w:keepNext/>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10000010">
      <w:pPr>
        <w:pStyle w:val="Heading3"/>
        <w:keepNext/>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keepNext/>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869"/>
        <w:gridCol w:w="1952"/>
        <w:gridCol w:w="4560"/>
        <w:gridCol w:w="1455"/>
      </w:tblGrid>
      <w:tr>
        <w:trPr>
          <w:cantSplit/>
          <w:tblHeader/>
        </w:trPr>
        <w:tc>
          <w:tcPr>
            <w:tcW w:type="dxa" w:w="869"/>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952"/>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4560"/>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55"/>
            <w:shd w:fill="1E3A5F" w:val="clear"/>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keepNext/>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keepNext/>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905"/>
        <w:gridCol w:w="1681"/>
        <w:gridCol w:w="1135"/>
        <w:gridCol w:w="4107"/>
        <w:gridCol w:w="1012"/>
      </w:tblGrid>
      <w:tr>
        <w:trPr>
          <w:cantSplit/>
          <w:tblHeader/>
        </w:trPr>
        <w:tc>
          <w:tcPr>
            <w:tcW w:type="dxa" w:w="90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681"/>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135"/>
            <w:shd w:fill="1E3A5F" w:val="clear"/>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4107"/>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012"/>
            <w:shd w:fill="1E3A5F" w:val="clear"/>
          </w:tcPr>
          <w:p>
            <w:r>
              <w:rPr>
                <w:rFonts w:ascii="IBM Plex Sans" w:hAnsi="IBM Plex Sans" w:cs="IBM Plex Sans" w:eastAsia="IBM Plex Sans"/>
              </w:rPr>
            </w:r>
            <w:r>
              <w:rPr>
                <w:rFonts w:ascii="IBM Plex Sans" w:hAnsi="IBM Plex Sans" w:cs="IBM Plex Sans" w:eastAsia="IBM Plex Sans"/>
                <w:b/>
                <w:color w:val="FFFFFF"/>
                <w:sz w:val="19"/>
              </w:rPr>
              <w:t>Pin</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keepNext/>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510"/>
        <w:gridCol w:w="2225"/>
        <w:gridCol w:w="2685"/>
        <w:gridCol w:w="163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510"/>
            <w:shd w:fill="1E3A5F" w:val="clear"/>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2225"/>
            <w:shd w:fill="1E3A5F" w:val="clear"/>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2685"/>
            <w:shd w:fill="1E3A5F" w:val="clear"/>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635"/>
            <w:shd w:fill="1E3A5F" w:val="clear"/>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telar sigue tomando el dibujo de su cinta de papel perforada. El sistema todavía no comanda las cuatro bobinas de selección: el 17/10/2026 se probó en la máquina el primer canal, en protoboard, y seleccionó bien, y las plaquetas para conectar los cuatro ya están soldadas.</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y su alimentación ya se midió (entre 15 y 30 V, el 17/10/2026). Las plaquetas ya están soldadas; faltan los otros tres canales y la instalación del gabinete.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rPr>
          <w:cantSplit/>
        </w:trPr>
        <w:tc>
          <w:tcPr>
            <w:tcW w:type="dxa" w:w="785"/>
          </w:tcPr>
          <w:p>
            <w:pPr>
              <w:jc w:val="both"/>
            </w:pPr>
            <w:r/>
            <w:r>
              <w:rPr>
                <w:rFonts w:ascii="IBM Plex Sans" w:hAnsi="IBM Plex Sans"/>
                <w:sz w:val="17"/>
              </w:rPr>
              <w:t>LIM02</w:t>
            </w:r>
          </w:p>
        </w:tc>
        <w:tc>
          <w:tcPr>
            <w:tcW w:type="dxa" w:w="1510"/>
          </w:tcPr>
          <w:p>
            <w:pPr>
              <w:jc w:val="both"/>
            </w:pPr>
            <w:r/>
            <w:r>
              <w:rPr>
                <w:rFonts w:ascii="IBM Plex Sans" w:hAnsi="IBM Plex Sans"/>
                <w:sz w:val="17"/>
              </w:rPr>
              <w:t>Conteo real de pasadas, RESUELTO EN ESTA ETAPA</w:t>
            </w:r>
          </w:p>
        </w:tc>
        <w:tc>
          <w:tcPr>
            <w:tcW w:type="dxa" w:w="2225"/>
          </w:tcPr>
          <w:p>
            <w:pPr>
              <w:jc w:val="both"/>
            </w:pPr>
            <w:r/>
            <w:r>
              <w:rPr>
                <w:rFonts w:ascii="IBM Plex Sans" w:hAnsi="IBM Plex Sans"/>
                <w:sz w:val="17"/>
              </w:rPr>
              <w:t>El sensor inductivo del Bloque C se incorpora al alcance de esta entrega.</w:t>
            </w:r>
          </w:p>
        </w:tc>
        <w:tc>
          <w:tcPr>
            <w:tcW w:type="dxa" w:w="2685"/>
          </w:tcPr>
          <w:p>
            <w:pPr>
              <w:jc w:val="both"/>
            </w:pPr>
            <w:r>
              <w:rPr>
                <w:rFonts w:ascii="IBM Plex Sans" w:hAnsi="IBM Plex Sans"/>
                <w:sz w:val="17"/>
                <w:szCs w:val="17"/>
              </w:rPr>
              <w:t>Su punto de montaje quedó definido el 10/09/2026, sobre un eje que da una vuelta por pasada; el 10/10/2026 se probó en protoboard con el ESP32 y funcionó, y el 17/10/2026 se conectó y se calibró en la máquina, donde cuenta las pasadas. Hasta que se valide su conteo contra el contador mecánico del telar y se instale el Nivel 2, el avance es una estimación por tiempo.</w:t>
            </w:r>
          </w:p>
        </w:tc>
        <w:tc>
          <w:tcPr>
            <w:tcW w:type="dxa" w:w="1635"/>
          </w:tcPr>
          <w:p>
            <w:pPr>
              <w:jc w:val="both"/>
            </w:pPr>
            <w:r/>
            <w:r>
              <w:rPr>
                <w:rFonts w:ascii="IBM Plex Sans" w:hAnsi="IBM Plex Sans"/>
                <w:sz w:val="17"/>
              </w:rPr>
              <w:t>Incluido en esta etapa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keepNext/>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keepNext/>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keepNext/>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keepNext/>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3 (aislamiento de señal):</w:t>
      </w:r>
      <w:r>
        <w:rPr>
          <w:rFonts w:ascii="IBM Plex Sans" w:cs="IBM Plex Sans" w:eastAsia="IBM Plex Sans" w:hAnsi="IBM Plex Sans"/>
          <w:rtl w:val="0"/>
        </w:rPr>
        <w:t xml:space="preserve">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keepNext/>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keepNext/>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keepNext/>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keepNext/>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 xml:space="preserve">Prensacables / Pasacables:</w:t>
      </w:r>
      <w:r>
        <w:rPr>
          <w:rFonts w:ascii="IBM Plex Sans" w:cs="IBM Plex Sans" w:eastAsia="IBM Plex Sans" w:hAnsi="IBM Plex Sans"/>
          <w:rtl w:val="0"/>
        </w:rPr>
        <w:t xml:space="preserve"> Entrada de cables sellada mediante 4 prensacables de nylon PG11 con sellado de junta tórica de neopreno, garantizando la hermeticidad de la acometida eléctrica y de sensores.</w:t>
      </w:r>
    </w:p>
    <w:p w:rsidR="00000000" w:rsidDel="00000000" w:rsidP="00000000" w:rsidRDefault="00000000" w:rsidRPr="00000000" w14:paraId="0000013C">
      <w:pPr>
        <w:pStyle w:val="Heading2"/>
        <w:keepNext/>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1105"/>
        <w:gridCol w:w="2389"/>
        <w:gridCol w:w="4347"/>
        <w:gridCol w:w="995"/>
        <w:tblGridChange w:id="0">
          <w:tblGrid>
            <w:gridCol w:w="2209"/>
            <w:gridCol w:w="2209"/>
            <w:gridCol w:w="2209"/>
            <w:gridCol w:w="2209"/>
          </w:tblGrid>
        </w:tblGridChange>
      </w:tblGrid>
      <w:tr>
        <w:trPr>
          <w:cantSplit/>
          <w:tblHeader/>
        </w:trPr>
        <w:tc>
          <w:tcPr>
            <w:tcW w:type="dxa" w:w="1105"/>
            <w:shd w:fill="1E3A5F" w:val="clear"/>
          </w:tcPr>
          <w:p w:rsidR="00000000" w:rsidDel="00000000" w:rsidP="00000000" w:rsidRDefault="00000000" w:rsidRPr="00000000" w14:paraId="0000013E">
            <w:pPr>
              <w:rPr>
                <w:rFonts w:ascii="IBM Plex Sans" w:cs="IBM Plex Sans" w:eastAsia="IBM Plex Sans" w:hAnsi="IBM Plex Sans"/>
              </w:rPr>
            </w:pPr>
            <w:sdt>
              <w:sdtPr>
                <w:tag w:val="goog_rdk_14"/>
                <w:id w:val="-1506028332"/>
              </w:sdtPr>
              <w:sdtContent>
                <w:commentRangeStart w:id="11"/>
              </w:sdtContent>
            </w:sdt>
            <w:r>
              <w:rPr>
                <w:rFonts w:ascii="IBM Plex Sans" w:cs="IBM Plex Sans" w:eastAsia="IBM Plex Sans" w:hAnsi="IBM Plex Sans"/>
                <w:b/>
                <w:color w:val="FFFFFF"/>
                <w:sz w:val="19"/>
                <w:szCs w:val="19"/>
                <w:rtl w:val="0"/>
              </w:rPr>
              <w:t>Bloque</w:t>
            </w:r>
          </w:p>
        </w:tc>
        <w:tc>
          <w:tcPr>
            <w:tcW w:type="dxa" w:w="2389"/>
            <w:shd w:fill="1E3A5F" w:val="clear"/>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b/>
                <w:color w:val="FFFFFF"/>
                <w:sz w:val="19"/>
                <w:szCs w:val="19"/>
                <w:rtl w:val="0"/>
              </w:rPr>
              <w:t>Componente</w:t>
            </w:r>
          </w:p>
        </w:tc>
        <w:tc>
          <w:tcPr>
            <w:tcW w:type="dxa" w:w="4347"/>
            <w:shd w:fill="1E3A5F" w:val="clear"/>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b/>
                <w:color w:val="FFFFFF"/>
                <w:sz w:val="19"/>
                <w:szCs w:val="19"/>
                <w:rtl w:val="0"/>
              </w:rPr>
              <w:t>Función</w:t>
            </w:r>
          </w:p>
        </w:tc>
        <w:tc>
          <w:tcPr>
            <w:tcW w:type="dxa" w:w="995"/>
            <w:shd w:fill="1E3A5F" w:val="clear"/>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b/>
                <w:color w:val="FFFFFF"/>
                <w:sz w:val="19"/>
                <w:szCs w:val="19"/>
                <w:rtl w:val="0"/>
              </w:rPr>
              <w:t>Cant.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Puente rectificador DB157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4347"/>
          </w:tcPr>
          <w:p>
            <w:pPr>
              <w:jc w:val="both"/>
            </w:pPr>
            <w:r>
              <w:rPr>
                <w:rFonts w:ascii="IBM Plex Sans" w:hAnsi="IBM Plex Sans" w:cs="IBM Plex Sans" w:eastAsia="IBM Plex Sans"/>
                <w:sz w:val="17"/>
                <w:szCs w:val="17"/>
              </w:rPr>
              <w:t xml:space="preserve">Polarización: 3 para los relés (IN1 e IN2 a 3,3 V; la de Retroceder a GND, porque su módulo es activo-alto) y 3 para el sensado. Evitan el accionamiento fantasma al encender.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6</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Capacitores: cerámicos de 100 nF y electrolíticos de 22 µF y 470 µF</w:t>
            </w:r>
          </w:p>
        </w:tc>
        <w:tc>
          <w:tcPr>
            <w:tcW w:type="dxa" w:w="4347"/>
          </w:tcPr>
          <w:p>
            <w:pPr>
              <w:jc w:val="both"/>
            </w:pPr>
            <w:r>
              <w:rPr>
                <w:rFonts w:ascii="IBM Plex Sans" w:hAnsi="IBM Plex Sans" w:cs="IBM Plex Sans" w:eastAsia="IBM Plex Sans"/>
                <w:sz w:val="17"/>
                <w:szCs w:val="17"/>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995"/>
          </w:tcPr>
          <w:p>
            <w:pPr>
              <w:jc w:val="both"/>
            </w:pPr>
            <w:r>
              <w:rPr>
                <w:rFonts w:ascii="IBM Plex Sans" w:hAnsi="IBM Plex Sans" w:cs="IBM Plex Sans" w:eastAsia="IBM Plex Sans"/>
                <w:sz w:val="17"/>
                <w:szCs w:val="17"/>
              </w:rPr>
              <w:t xml:space="preserve">3 + 3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 m</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4347"/>
          </w:tcPr>
          <w:p>
            <w:r/>
            <w:r>
              <w:rPr>
                <w:rFonts w:ascii="IBM Plex Sans" w:hAnsi="IBM Plex Sans"/>
                <w:sz w:val="17"/>
              </w:rPr>
              <w:t>Cuenta las pasadas reales del telar, entregando un pulso por cada giro completo del eje. Incluido en el alcance de esta etapa.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sz w:val="17"/>
                <w:szCs w:val="17"/>
              </w:rPr>
              <w:t xml:space="preserve">Optoacoplador PC817 + resistencias de 1,2 kΩ y 10 kΩ</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4347"/>
          </w:tcPr>
          <w:p>
            <w:pPr>
              <w:jc w:val="both"/>
            </w:pPr>
            <w:r>
              <w:rPr>
                <w:rFonts w:ascii="IBM Plex Sans" w:hAnsi="IBM Plex Sans" w:cs="IBM Plex Sans" w:eastAsia="IBM Plex Sans"/>
                <w:sz w:val="17"/>
                <w:szCs w:val="17"/>
              </w:rPr>
              <w:t>El telar de implementación (C 201) cuenta con 4 bobinas de selección en funcionamiento, confirmado con el dueño el 19/09/26. El Nivel 2 prevé intervenir su señal de mando en lugar de reemplazarlas.</w:t>
            </w:r>
          </w:p>
        </w:tc>
        <w:tc>
          <w:tcPr>
            <w:tcW w:type="dxa" w:w="995"/>
          </w:tcPr>
          <w:p>
            <w:pPr>
              <w:jc w:val="both"/>
            </w:pPr>
            <w:r>
              <w:rPr>
                <w:rFonts w:ascii="IBM Plex Sans" w:hAnsi="IBM Plex Sans" w:cs="IBM Plex Sans" w:eastAsia="IBM Plex Sans"/>
                <w:sz w:val="17"/>
                <w:szCs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995"/>
          </w:tcPr>
          <w:p>
            <w:pPr>
              <w:jc w:val="both"/>
            </w:pPr>
            <w:r>
              <w:rPr>
                <w:rFonts w:ascii="IBM Plex Sans" w:hAnsi="IBM Plex Sans" w:cs="IBM Plex Sans" w:eastAsia="IBM Plex Sans"/>
                <w:sz w:val="17"/>
                <w:szCs w:val="17"/>
              </w:rPr>
              <w:t xml:space="preserve">0</w:t>
            </w:r>
          </w:p>
        </w:tc>
      </w:tr>
      <w:t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Relé OptoMOS LCA110 de IXYS (DIP-6), uno por lector óptico, en su zócalo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995"/>
          </w:tcPr>
          <w:p>
            <w:pPr>
              <w:jc w:val="both"/>
            </w:pPr>
            <w:r>
              <w:rPr>
                <w:rFonts w:ascii="IBM Plex Sans" w:hAnsi="IBM Plex Sans" w:cs="IBM Plex Sans" w:eastAsia="IBM Plex Sans"/>
                <w:sz w:val="17"/>
                <w:szCs w:val="17"/>
              </w:rPr>
              <w:t xml:space="preserve">4 + 4 zócalos</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Resistencias por canal: 330 Ω y 10 kΩ del lado del ESP32; de protección de 470 Ω 3 W (el lector se alimenta con 15 a 30 V) y 10 kΩ ½ W del lado del telar</w:t>
            </w:r>
          </w:p>
        </w:tc>
        <w:tc>
          <w:tcPr>
            <w:tcW w:type="dxa" w:w="4347"/>
          </w:tcPr>
          <w:p>
            <w:pPr>
              <w:jc w:val="both"/>
            </w:pPr>
            <w:r>
              <w:rPr>
                <w:rFonts w:ascii="IBM Plex Sans" w:hAnsi="IBM Plex Sans" w:cs="IBM Plex Sans" w:eastAsia="IBM Plex Sans"/>
                <w:sz w:val="17"/>
                <w:szCs w:val="17"/>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995"/>
          </w:tcPr>
          <w:p>
            <w:pPr>
              <w:jc w:val="both"/>
            </w:pPr>
            <w:r>
              <w:rPr>
                <w:rFonts w:ascii="IBM Plex Sans" w:hAnsi="IBM Plex Sans" w:cs="IBM Plex Sans" w:eastAsia="IBM Plex Sans"/>
                <w:sz w:val="17"/>
                <w:szCs w:val="17"/>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keepNext/>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keepNext/>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10000011">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al 20/10/2026 quedaron terminadas las cinco plaquetas soldadas y se sumaron el modo solo sensado y la vista para los clientes.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keepNext/>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keepNext/>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keepNext/>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keepNext/>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(terminadas al 20/10/2026) y la instalación son de la Etapa 07, donde el 17/10/2026 se midió el lector y se probó en la máquina el primer canal). Alta del login biométrico WebAuthn y protecciones eléctricas del BOM.</w:t>
      </w:r>
    </w:p>
    <w:p w:rsidR="00000000" w:rsidDel="00000000" w:rsidP="00000000" w:rsidRDefault="00000000" w:rsidRPr="00000000" w14:paraId="0000019F">
      <w:pPr>
        <w:pStyle w:val="Heading4"/>
        <w:keepNext/>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keepNext/>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keepNext/>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keepNext/>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keepNext/>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keepNext/>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keepNext/>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PB-4.1 Consola de Ejecución:</w:t>
      </w:r>
      <w:r>
        <w:rPr>
          <w:rFonts w:ascii="IBM Plex Sans" w:cs="IBM Plex Sans" w:eastAsia="IBM Plex Sans" w:hAnsi="IBM Plex Sans"/>
          <w:rtl w:val="0"/>
        </w:rPr>
        <w:t xml:space="preserve">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keepNext/>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keepNext/>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612"/>
        <w:gridCol w:w="1310"/>
        <w:gridCol w:w="3928"/>
        <w:gridCol w:w="1205"/>
      </w:tblGrid>
      <w:tr>
        <w:trPr>
          <w:cantSplit/>
          <w:tblHeader/>
        </w:trPr>
        <w:tc>
          <w:tcPr>
            <w:tcW w:type="dxa" w:w="785"/>
            <w:shd w:fill="1E3A5F" w:val="clear"/>
          </w:tcPr>
          <w:p>
            <w:r/>
            <w:r>
              <w:rPr>
                <w:rFonts w:ascii="IBM Plex Sans" w:hAnsi="IBM Plex Sans"/>
                <w:b/>
                <w:color w:val="FFFFFF"/>
                <w:sz w:val="19"/>
              </w:rPr>
              <w:t>ID</w:t>
            </w:r>
          </w:p>
        </w:tc>
        <w:tc>
          <w:tcPr>
            <w:tcW w:type="dxa" w:w="1612"/>
            <w:shd w:fill="1E3A5F" w:val="clear"/>
          </w:tcPr>
          <w:p>
            <w:r/>
            <w:r>
              <w:rPr>
                <w:rFonts w:ascii="IBM Plex Sans" w:hAnsi="IBM Plex Sans"/>
                <w:b/>
                <w:color w:val="FFFFFF"/>
                <w:sz w:val="19"/>
              </w:rPr>
              <w:t>Título de la tarea</w:t>
            </w:r>
          </w:p>
        </w:tc>
        <w:tc>
          <w:tcPr>
            <w:tcW w:type="dxa" w:w="1310"/>
            <w:shd w:fill="1E3A5F" w:val="clear"/>
          </w:tcPr>
          <w:p>
            <w:r/>
            <w:r>
              <w:rPr>
                <w:rFonts w:ascii="IBM Plex Sans" w:hAnsi="IBM Plex Sans"/>
                <w:b/>
                <w:color w:val="FFFFFF"/>
                <w:sz w:val="19"/>
              </w:rPr>
              <w:t>Área</w:t>
            </w:r>
          </w:p>
        </w:tc>
        <w:tc>
          <w:tcPr>
            <w:tcW w:type="dxa" w:w="3928"/>
            <w:shd w:fill="1E3A5F" w:val="clear"/>
          </w:tcPr>
          <w:p>
            <w:r/>
            <w:r>
              <w:rPr>
                <w:rFonts w:ascii="IBM Plex Sans" w:hAnsi="IBM Plex Sans"/>
                <w:b/>
                <w:color w:val="FFFFFF"/>
                <w:sz w:val="19"/>
              </w:rPr>
              <w:t>Criterios de aceptación</w:t>
            </w:r>
          </w:p>
        </w:tc>
        <w:tc>
          <w:tcPr>
            <w:tcW w:type="dxa" w:w="1205"/>
            <w:shd w:fill="1E3A5F" w:val="clear"/>
          </w:tcPr>
          <w:p>
            <w:r/>
            <w:r>
              <w:rPr>
                <w:rFonts w:ascii="IBM Plex Sans" w:hAnsi="IBM Plex Sans"/>
                <w:b/>
                <w:color w:val="FFFFFF"/>
                <w:sz w:val="19"/>
              </w:rPr>
              <w:t>Estado</w:t>
            </w:r>
          </w:p>
        </w:tc>
      </w:tr>
      <w:tr>
        <w:trPr>
          <w:cantSplit/>
        </w:trPr>
        <w:tc>
          <w:tcPr>
            <w:tcW w:type="dxa" w:w="785"/>
          </w:tcPr>
          <w:p>
            <w:pPr>
              <w:jc w:val="both"/>
            </w:pPr>
            <w:r/>
            <w:r>
              <w:rPr>
                <w:rFonts w:ascii="IBM Plex Sans" w:hAnsi="IBM Plex Sans"/>
                <w:sz w:val="17"/>
              </w:rPr>
              <w:t>SB-01</w:t>
            </w:r>
          </w:p>
        </w:tc>
        <w:tc>
          <w:tcPr>
            <w:tcW w:type="dxa" w:w="1612"/>
          </w:tcPr>
          <w:p>
            <w:pPr>
              <w:jc w:val="both"/>
            </w:pPr>
            <w:r/>
            <w:r>
              <w:rPr>
                <w:rFonts w:ascii="IBM Plex Sans" w:hAnsi="IBM Plex Sans"/>
                <w:sz w:val="17"/>
              </w:rPr>
              <w:t>Grilla interactiva del editor</w:t>
            </w:r>
          </w:p>
        </w:tc>
        <w:tc>
          <w:tcPr>
            <w:tcW w:type="dxa" w:w="1310"/>
          </w:tcPr>
          <w:p>
            <w:pPr>
              <w:jc w:val="both"/>
            </w:pPr>
            <w:r/>
            <w:r>
              <w:rPr>
                <w:rFonts w:ascii="IBM Plex Sans" w:hAnsi="IBM Plex Sans"/>
                <w:sz w:val="17"/>
              </w:rPr>
              <w:t>Frontend</w:t>
            </w:r>
          </w:p>
        </w:tc>
        <w:tc>
          <w:tcPr>
            <w:tcW w:type="dxa" w:w="3928"/>
          </w:tcPr>
          <w:p>
            <w:pPr>
              <w:jc w:val="both"/>
            </w:pPr>
            <w:r>
              <w:rPr>
                <w:rFonts w:ascii="IBM Plex Sans" w:hAnsi="IBM Plex Sans"/>
                <w:sz w:val="17"/>
                <w:szCs w:val="17"/>
              </w:rP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SB-02</w:t>
            </w:r>
          </w:p>
        </w:tc>
        <w:tc>
          <w:tcPr>
            <w:tcW w:type="dxa" w:w="1612"/>
          </w:tcPr>
          <w:p>
            <w:pPr>
              <w:jc w:val="both"/>
            </w:pPr>
            <w:r/>
            <w:r>
              <w:rPr>
                <w:rFonts w:ascii="IBM Plex Sans" w:hAnsi="IBM Plex Sans"/>
                <w:sz w:val="17"/>
              </w:rPr>
              <w:t>Esquema de base de datos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SB-03</w:t>
            </w:r>
          </w:p>
        </w:tc>
        <w:tc>
          <w:tcPr>
            <w:tcW w:type="dxa" w:w="1612"/>
          </w:tcPr>
          <w:p>
            <w:pPr>
              <w:jc w:val="both"/>
            </w:pPr>
            <w:r/>
            <w:r>
              <w:rPr>
                <w:rFonts w:ascii="IBM Plex Sans" w:hAnsi="IBM Plex Sans"/>
                <w:sz w:val="17"/>
              </w:rPr>
              <w:t>API REST de patrones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Endpoints de alta, consulta, modificación y baja. La web y el ESP32 consumen la misma API.</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SB-04</w:t>
            </w:r>
          </w:p>
        </w:tc>
        <w:tc>
          <w:tcPr>
            <w:tcW w:type="dxa" w:w="1612"/>
          </w:tcPr>
          <w:p>
            <w:pPr>
              <w:jc w:val="both"/>
            </w:pPr>
            <w:r/>
            <w:r>
              <w:rPr>
                <w:rFonts w:ascii="IBM Plex Sans" w:hAnsi="IBM Plex Sans"/>
                <w:sz w:val="17"/>
              </w:rPr>
              <w:t>Persistencia del dibujo</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Al guardar, el dibujo queda en la base y aparece en la Biblioteca. Al abrirlo, la grilla se reconstruye idéntica.</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SB-05</w:t>
            </w:r>
          </w:p>
        </w:tc>
        <w:tc>
          <w:tcPr>
            <w:tcW w:type="dxa" w:w="1612"/>
          </w:tcPr>
          <w:p>
            <w:pPr>
              <w:jc w:val="both"/>
            </w:pPr>
            <w:r/>
            <w:r>
              <w:rPr>
                <w:rFonts w:ascii="IBM Plex Sans" w:hAnsi="IBM Plex Sans"/>
                <w:sz w:val="17"/>
              </w:rPr>
              <w:t>Posición del tejido en curso</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historial_produccion registra fila y pasada actuales, permitiendo retomar y retroceder sin reconstruir el estado.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SB-06</w:t>
            </w:r>
          </w:p>
        </w:tc>
        <w:tc>
          <w:tcPr>
            <w:tcW w:type="dxa" w:w="1612"/>
          </w:tcPr>
          <w:p>
            <w:pPr>
              <w:jc w:val="both"/>
            </w:pPr>
            <w:r/>
            <w:r>
              <w:rPr>
                <w:rFonts w:ascii="IBM Plex Sans" w:hAnsi="IBM Plex Sans"/>
                <w:sz w:val="17"/>
              </w:rPr>
              <w:t>Pausa y reanudación</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Pausar conserva posición y patrón; al reanudar, el tejido retoma donde quedó en lugar de empezar de cero.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SB-07</w:t>
            </w:r>
          </w:p>
        </w:tc>
        <w:tc>
          <w:tcPr>
            <w:tcW w:type="dxa" w:w="1612"/>
          </w:tcPr>
          <w:p>
            <w:pPr>
              <w:jc w:val="both"/>
            </w:pPr>
            <w:r/>
            <w:r>
              <w:rPr>
                <w:rFonts w:ascii="IBM Plex Sans" w:hAnsi="IBM Plex Sans"/>
                <w:sz w:val="17"/>
              </w:rPr>
              <w:t>Retroceso de una pasada</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 el tejido, mueve la posición una pasada atrás, lo refleja en pantalla y pulsa el relé del telar.</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SB-08</w:t>
            </w:r>
          </w:p>
        </w:tc>
        <w:tc>
          <w:tcPr>
            <w:tcW w:type="dxa" w:w="1612"/>
          </w:tcPr>
          <w:p>
            <w:pPr>
              <w:jc w:val="both"/>
            </w:pPr>
            <w:r/>
            <w:r>
              <w:rPr>
                <w:rFonts w:ascii="IBM Plex Sans" w:hAnsi="IBM Plex Sans"/>
                <w:sz w:val="17"/>
              </w:rPr>
              <w:t>Sensado del uso manual</w:t>
            </w:r>
          </w:p>
        </w:tc>
        <w:tc>
          <w:tcPr>
            <w:tcW w:type="dxa" w:w="1310"/>
          </w:tcPr>
          <w:p>
            <w:pPr>
              <w:jc w:val="both"/>
            </w:pPr>
            <w:r/>
            <w:r>
              <w:rPr>
                <w:rFonts w:ascii="IBM Plex Sans" w:hAnsi="IBM Plex Sans"/>
                <w:sz w:val="17"/>
              </w:rPr>
              <w:t>Firmware</w:t>
            </w:r>
          </w:p>
        </w:tc>
        <w:tc>
          <w:tcPr>
            <w:tcW w:type="dxa" w:w="3928"/>
          </w:tcPr>
          <w:p>
            <w:pPr>
              <w:jc w:val="both"/>
            </w:pPr>
            <w:r/>
            <w:r>
              <w:rPr>
                <w:rFonts w:ascii="IBM Plex Sans" w:hAnsi="IBM Plex Sans"/>
                <w:sz w:val="17"/>
              </w:rPr>
              <w:t>Si un operario usa la botonera, el nodo lo detecta por optoacoplador y la web refleja el estado real de la máquina.</w:t>
            </w:r>
          </w:p>
        </w:tc>
        <w:tc>
          <w:tcPr>
            <w:tcW w:type="dxa" w:w="1205"/>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keepNext/>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keepNext/>
        <w:jc w:val="center"/>
      </w:pPr>
      <w:r/>
    </w:p>
    <w:p w:rsidR="00000000" w:rsidDel="00000000" w:rsidP="00000000" w:rsidRDefault="00000000" w:rsidRPr="00000000" w14:paraId="10000012">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keepNext/>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keepNext/>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tag w:val="goog_rdk_18"/>
          <w:id w:val="1758680820"/>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keepNext/>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 xml:space="preserve">Fabricación de placas de circuito impreso:</w:t>
      </w:r>
      <w:r>
        <w:rPr>
          <w:rFonts w:ascii="IBM Plex Sans" w:cs="IBM Plex Sans" w:eastAsia="IBM Plex Sans" w:hAnsi="IBM Plex Sans"/>
          <w:rtl w:val="0"/>
        </w:rPr>
        <w:t xml:space="preserve">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883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50"/>
        <w:gridCol w:w="2100"/>
        <w:gridCol w:w="2050"/>
        <w:gridCol w:w="2938"/>
        <w:tblGridChange w:id="0">
          <w:tblGrid>
            <w:gridCol w:w="1493"/>
            <w:gridCol w:w="2247"/>
            <w:gridCol w:w="2179"/>
            <w:gridCol w:w="3092"/>
          </w:tblGrid>
        </w:tblGridChange>
      </w:tblGrid>
      <w:tr>
        <w:trPr>
          <w:cantSplit/>
          <w:trHeight w:val="430" w:hRule="atLeast"/>
          <w:tblHeader/>
        </w:trPr>
        <w:tc>
          <w:tcPr>
            <w:tcBorders>
              <w:right w:color="ffffff" w:space="0" w:sz="4" w:val="single"/>
            </w:tcBorders>
            <w:shd w:fill="16304F" w:val="clear"/>
            <w:vAlign w:val="center"/>
          </w:tcPr>
          <w:p w:rsidR="00000000" w:rsidDel="00000000" w:rsidP="00000000" w:rsidRDefault="00000000" w:rsidRPr="00000000" w14:paraId="000001D8">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trHeight w:val="720" w:hRule="atLeast"/>
          <w:tblHeader w:val="0"/>
        </w:trPr>
        <w:tc>
          <w:tcPr>
            <w:vAlign w:val="center"/>
          </w:tcPr>
          <w:p w:rsidR="00000000" w:rsidDel="00000000" w:rsidP="00000000" w:rsidRDefault="00000000" w:rsidRPr="00000000" w14:paraId="000001D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trHeight w:val="579" w:hRule="atLeast"/>
          <w:tblHeader w:val="0"/>
        </w:trPr>
        <w:tc>
          <w:tcPr>
            <w:vAlign w:val="center"/>
          </w:tcPr>
          <w:p w:rsidR="00000000" w:rsidDel="00000000" w:rsidP="00000000" w:rsidRDefault="00000000" w:rsidRPr="00000000" w14:paraId="000001E0">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trHeight w:val="430" w:hRule="atLeast"/>
          <w:tblHeader w:val="0"/>
        </w:trPr>
        <w:tc>
          <w:tcPr>
            <w:vAlign w:val="center"/>
          </w:tcPr>
          <w:p w:rsidR="00000000" w:rsidDel="00000000" w:rsidP="00000000" w:rsidRDefault="00000000" w:rsidRPr="00000000" w14:paraId="000001E4">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trHeight w:val="289" w:hRule="atLeast"/>
          <w:tblHeader w:val="0"/>
        </w:trPr>
        <w:tc>
          <w:tcPr>
            <w:vAlign w:val="center"/>
          </w:tcPr>
          <w:p w:rsidR="00000000" w:rsidDel="00000000" w:rsidP="00000000" w:rsidRDefault="00000000" w:rsidRPr="00000000" w14:paraId="000001E8">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trHeight w:val="579" w:hRule="atLeast"/>
          <w:tblHeader w:val="0"/>
        </w:trPr>
        <w:tc>
          <w:tcPr>
            <w:vAlign w:val="center"/>
          </w:tcPr>
          <w:p w:rsidR="00000000" w:rsidDel="00000000" w:rsidP="00000000" w:rsidRDefault="00000000" w:rsidRPr="00000000" w14:paraId="000001E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keepNext/>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20/10/2026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10000013">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rtl w:val="0"/>
        </w:rPr>
        <w:t>Los componentes efectivamente adquiridos para el Bloque A suman $73.653, a los que se agregan $13.950 del Bloque C y $34.536 del Bloque D, totalizando $122.139 en materiales. Sumando los gastos operativos de $109.675 y el valor del trabajo del equipo, valuado en $31.844.539 según las tarifas del proyecto, el costo total asciende a $32.076.353. Aplicando el margen del 25 % previsto, el presupuesto final es de $40.095.441, con una ganancia proyectada de $8.019.088.</w:t>
      </w:r>
    </w:p>
    <w:tbl>
      <w:tblPr>
        <w:tblStyle w:val="Table6"/>
        <w:tblW w:w="8827"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526"/>
        <w:gridCol w:w="1500"/>
        <w:gridCol w:w="1950"/>
        <w:gridCol w:w="1300"/>
        <w:tblGridChange w:id="0">
          <w:tblGrid>
            <w:gridCol w:w="1551"/>
            <w:gridCol w:w="2889"/>
            <w:gridCol w:w="1305"/>
            <w:gridCol w:w="1989"/>
            <w:gridCol w:w="1093"/>
          </w:tblGrid>
        </w:tblGridChange>
      </w:tblGrid>
      <w:tr>
        <w:trPr>
          <w:cantSplit/>
          <w:tblHeader/>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tag w:val="goog_rdk_19"/>
                <w:id w:val="-95384766"/>
              </w:sdtPr>
              <w:sdtContent>
                <w:commentRangeStart w:id="14"/>
              </w:sdtContent>
            </w:sdt>
            <w:r>
              <w:rPr>
                <w:rFonts w:ascii="IBM Plex Sans" w:cs="IBM Plex Sans" w:eastAsia="IBM Plex Sans" w:hAnsi="IBM Plex Sans"/>
                <w:sz w:val="20"/>
                <w:szCs w:val="20"/>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 xml:space="preserve">SUBTOTAL </w:t>
            </w:r>
          </w:p>
        </w:tc>
      </w:tr>
      <w:tr>
        <w:trPr>
          <w:cantSplit/>
          <w:tblHeader w:val="0"/>
        </w:trPr>
        <w:tc>
          <w:tcPr>
            <w:vAlign w:val="center"/>
          </w:tcPr>
          <w:p>
            <w:pPr>
              <w:jc w:val="left"/>
            </w:pPr>
            <w:r/>
            <w:r>
              <w:rPr>
                <w:rFonts w:ascii="IBM Plex Sans" w:hAnsi="IBM Plex Sans"/>
                <w:sz w:val="17"/>
                <w:szCs w:val="17"/>
              </w:rPr>
              <w:t>Bloque A, Nivel 1 (control y sensado)</w:t>
            </w:r>
          </w:p>
        </w:tc>
        <w:tc>
          <w:tcPr>
            <w:vAlign w:val="center"/>
          </w:tcPr>
          <w:p>
            <w:pPr>
              <w:jc w:val="left"/>
            </w:pPr>
            <w:r/>
            <w:r>
              <w:rPr>
                <w:rFonts w:ascii="IBM Plex Sans" w:hAnsi="IBM Plex Sans"/>
                <w:sz w:val="17"/>
                <w:szCs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sz w:val="17"/>
                <w:szCs w:val="17"/>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sz w:val="17"/>
                <w:szCs w:val="17"/>
                <w:rtl w:val="0"/>
              </w:rPr>
              <w:t>$73.653</w:t>
            </w:r>
          </w:p>
        </w:tc>
      </w:tr>
      <w:tr>
        <w:trPr>
          <w:cantSplit/>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sz w:val="17"/>
                <w:szCs w:val="17"/>
                <w:rtl w:val="0"/>
              </w:rPr>
              <w:t>Bloque C, Sensor de pasada</w:t>
            </w:r>
          </w:p>
        </w:tc>
        <w:tc>
          <w:tcPr>
            <w:vAlign w:val="center"/>
          </w:tcPr>
          <w:p>
            <w:pPr>
              <w:jc w:val="left"/>
            </w:pPr>
            <w:r/>
            <w:r>
              <w:rPr>
                <w:rFonts w:ascii="IBM Plex Sans" w:hAnsi="IBM Plex Sans"/>
                <w:sz w:val="17"/>
                <w:szCs w:val="17"/>
              </w:rPr>
              <w:t>Sensor inductivo LJ12A3-4-Z/BX (ya adquirido), optoacoplador y resistencias de adaptación de nivel, más el soporte de montaje (ya construido y montado el 10/09/2026).</w:t>
            </w:r>
          </w:p>
        </w:tc>
        <w:tc>
          <w:tcPr>
            <w:vAlign w:val="center"/>
          </w:tcPr>
          <w:p>
            <w:pPr>
              <w:jc w:val="left"/>
            </w:pPr>
            <w:r/>
            <w:r>
              <w:rPr>
                <w:rFonts w:ascii="IBM Plex Sans" w:hAnsi="IBM Plex Sans"/>
                <w:sz w:val="17"/>
                <w:szCs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$13.950</w:t>
            </w:r>
          </w:p>
        </w:tc>
      </w:tr>
      <w:tr>
        <w:trPr>
          <w:cantSplit/>
          <w:tblHeader w:val="0"/>
        </w:trPr>
        <w:tc>
          <w:tcPr>
            <w:vAlign w:val="center"/>
          </w:tcPr>
          <w:p>
            <w:r/>
            <w:r>
              <w:rPr>
                <w:rFonts w:ascii="IBM Plex Sans" w:hAnsi="IBM Plex Sans"/>
                <w:sz w:val="17"/>
                <w:szCs w:val="17"/>
              </w:rPr>
              <w:t>Bloque D, Nivel 2 (selección del dibujo)</w:t>
            </w:r>
          </w:p>
        </w:tc>
        <w:tc>
          <w:tcPr>
            <w:vAlign w:val="center"/>
          </w:tcPr>
          <w:p>
            <w:pPr>
              <w:jc w:val="left"/>
            </w:pPr>
            <w:r>
              <w:rPr>
                <w:sz w:val="17"/>
                <w:szCs w:val="17"/>
              </w:rP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sz w:val="17"/>
                <w:szCs w:val="17"/>
                <w:rtl w:val="0"/>
              </w:rPr>
              <w:t>Después de medir (medido el 17/10)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$34.536 (faltan los precios de nueve ítems de la lista)</w:t>
            </w:r>
          </w:p>
        </w:tc>
      </w:tr>
      <w:tr>
        <w:trPr>
          <w:cantSplit/>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pPr>
              <w:jc w:val="left"/>
            </w:pPr>
            <w:r/>
            <w:r>
              <w:rPr>
                <w:rFonts w:ascii="IBM Plex Sans" w:hAnsi="IBM Plex Sans"/>
                <w:sz w:val="17"/>
                <w:szCs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hecha el 17/10/2026 (entre 15 y 30 V); y (3) lo que falta de los Bloques C y D (el sensor ya se compró y el relé LCA110 se probó en la máquina), con la resistencia de protección de 470 Ω 3 W que fijó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 xml:space="preserve">Costos de operación mensuales recurrentes:</w:t>
      </w:r>
      <w:r>
        <w:rPr>
          <w:rFonts w:ascii="IBM Plex Sans" w:cs="IBM Plex Sans" w:eastAsia="IBM Plex Sans" w:hAnsi="IBM Plex Sans"/>
          <w:rtl w:val="0"/>
        </w:rPr>
        <w:t xml:space="preserve">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p>
    <w:p w:rsidR="00000000" w:rsidDel="00000000" w:rsidP="00000000" w:rsidRDefault="00000000" w:rsidRPr="00000000" w14:paraId="00000213">
      <w:pPr>
        <w:pStyle w:val="Heading1"/>
        <w:keepNext/>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keepNext/>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keepNext/>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keepNext/>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keepNext/>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10000014">
      <w:pPr>
        <w:pStyle w:val="Heading2"/>
        <w:keepNext/>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10000015">
      <w:pPr>
        <w:numPr>
          <w:ilvl w:val="0"/>
          <w:numId w:val="12"/>
        </w:numPr>
        <w:ind w:left="720" w:hanging="360"/>
        <w:jc w:val="both"/>
        <w:rPr/>
      </w:pPr>
      <w:r>
        <w:rPr>
          <w:rFonts w:ascii="IBM Plex Sans" w:cs="IBM Plex Sans" w:eastAsia="IBM Plex Sans" w:hAnsi="IBM Plex Sans"/>
          <w:b w:val="1"/>
          <w:bCs w:val="1"/>
          <w:rtl w:val="0"/>
        </w:rPr>
        <w:t xml:space="preserve">Parada automática al completar la pieza:</w:t>
      </w:r>
      <w:r>
        <w:rPr>
          <w:rFonts w:ascii="IBM Plex Sans" w:cs="IBM Plex Sans" w:eastAsia="IBM Plex Sans" w:hAnsi="IBM Plex Sans"/>
          <w:rtl w:val="0"/>
        </w:rPr>
        <w:t xml:space="preserve">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p>
    <w:p w:rsidR="00000000" w:rsidDel="00000000" w:rsidP="00000000" w:rsidRDefault="00000000" w:rsidRPr="00000000" w14:paraId="10000016">
      <w:pPr>
        <w:numPr>
          <w:ilvl w:val="0"/>
          <w:numId w:val="12"/>
        </w:numPr>
        <w:ind w:left="720" w:hanging="360"/>
        <w:jc w:val="both"/>
        <w:rPr/>
      </w:pPr>
      <w:r>
        <w:rPr>
          <w:rFonts w:ascii="IBM Plex Sans" w:cs="IBM Plex Sans" w:eastAsia="IBM Plex Sans" w:hAnsi="IBM Plex Sans"/>
          <w:b w:val="1"/>
          <w:bCs w:val="1"/>
          <w:rtl w:val="0"/>
        </w:rPr>
        <w:t xml:space="preserve">Acumulación entre turnos:</w:t>
      </w:r>
      <w:r>
        <w:rPr>
          <w:rFonts w:ascii="IBM Plex Sans" w:cs="IBM Plex Sans" w:eastAsia="IBM Plex Sans" w:hAnsi="IBM Plex Sans"/>
          <w:rtl w:val="0"/>
        </w:rPr>
        <w:t xml:space="preserve"> el conteo se guarda en el historial de producción, de modo que una pieza que abarca varios turnos no depende de que alguien recuerde en qué número quedó el contador mecánico.</w:t>
      </w:r>
    </w:p>
    <w:p w:rsidR="00000000" w:rsidDel="00000000" w:rsidP="00000000" w:rsidRDefault="00000000" w:rsidRPr="00000000" w14:paraId="10000017">
      <w:pPr>
        <w:numPr>
          <w:ilvl w:val="0"/>
          <w:numId w:val="12"/>
        </w:numPr>
        <w:ind w:left="720" w:hanging="360"/>
        <w:jc w:val="both"/>
        <w:rPr/>
      </w:pPr>
      <w:r>
        <w:rPr>
          <w:rFonts w:ascii="IBM Plex Sans" w:cs="IBM Plex Sans" w:eastAsia="IBM Plex Sans" w:hAnsi="IBM Plex Sans"/>
          <w:b w:val="1"/>
          <w:bCs w:val="1"/>
          <w:rtl w:val="0"/>
        </w:rPr>
        <w:t xml:space="preserve">Estadísticas de máquina:</w:t>
      </w:r>
      <w:r>
        <w:rPr>
          <w:rFonts w:ascii="IBM Plex Sans" w:cs="IBM Plex Sans" w:eastAsia="IBM Plex Sans" w:hAnsi="IBM Plex Sans"/>
          <w:rtl w:val="0"/>
        </w:rPr>
        <w:t xml:space="preserve"> a partir de los registros de inicio, fin y pasadas que el sistema ya guarda, se pueden derivar horas efectivas de funcionamiento, metros producidos por período y comparación entre telares, sin agregar ningún sensor.</w:t>
      </w:r>
    </w:p>
    <w:p w:rsidR="00000000" w:rsidDel="00000000" w:rsidP="00000000" w:rsidRDefault="00000000" w:rsidRPr="00000000" w14:paraId="10000018">
      <w:pPr>
        <w:pStyle w:val="Heading2"/>
        <w:keepNext/>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10000019">
      <w:pPr>
        <w:numPr>
          <w:ilvl w:val="0"/>
          <w:numId w:val="12"/>
        </w:numPr>
        <w:ind w:left="720" w:hanging="360"/>
        <w:jc w:val="both"/>
        <w:rPr/>
      </w:pPr>
      <w:r>
        <w:rPr>
          <w:rFonts w:ascii="IBM Plex Sans" w:cs="IBM Plex Sans" w:eastAsia="IBM Plex Sans" w:hAnsi="IBM Plex Sans"/>
          <w:b w:val="1"/>
          <w:bCs w:val="1"/>
          <w:rtl w:val="0"/>
        </w:rPr>
        <w:t xml:space="preserve">Control de trama y urdimbre restantes:</w:t>
      </w:r>
      <w:r>
        <w:rPr>
          <w:rFonts w:ascii="IBM Plex Sans" w:cs="IBM Plex Sans" w:eastAsia="IBM Plex Sans" w:hAnsi="IBM Plex Sans"/>
          <w:rtl w:val="0"/>
        </w:rPr>
        <w:t xml:space="preserve"> con el hilado cargado en la ficha del dibujo (peso y metros que alcanza a tejer), el sistema ya muestra lo usado, lo que queda y los metros que faltan. Lo que sigue es que avise solo antes de que se termine y que lleve también la urdimbre, que hoy se estima a ojo.</w:t>
      </w:r>
    </w:p>
    <w:p w:rsidR="00000000" w:rsidDel="00000000" w:rsidP="00000000" w:rsidRDefault="00000000" w:rsidRPr="00000000" w14:paraId="1000001A">
      <w:pPr>
        <w:numPr>
          <w:ilvl w:val="0"/>
          <w:numId w:val="12"/>
        </w:numPr>
        <w:ind w:left="720" w:hanging="360"/>
        <w:jc w:val="both"/>
        <w:rPr/>
      </w:pPr>
      <w:r>
        <w:rPr>
          <w:rFonts w:ascii="IBM Plex Sans" w:cs="IBM Plex Sans" w:eastAsia="IBM Plex Sans" w:hAnsi="IBM Plex Sans"/>
          <w:b w:val="1"/>
          <w:bCs w:val="1"/>
          <w:rtl w:val="0"/>
        </w:rPr>
        <w:t xml:space="preserve">Encadenado de trabajos:</w:t>
      </w:r>
      <w:r>
        <w:rPr>
          <w:rFonts w:ascii="IBM Plex Sans" w:cs="IBM Plex Sans" w:eastAsia="IBM Plex Sans" w:hAnsi="IBM Plex Sans"/>
          <w:rtl w:val="0"/>
        </w:rPr>
        <w:t xml:space="preserve"> permitir que la web indique qué dibujo sigue una vez terminada la pieza en curso, de modo que el operario no dependa de una consulta telefónica para saber cómo continuar.</w:t>
      </w:r>
    </w:p>
    <w:p w:rsidR="00000000" w:rsidDel="00000000" w:rsidP="00000000" w:rsidRDefault="00000000" w:rsidRPr="00000000" w14:paraId="1000001B">
      <w:pPr>
        <w:numPr>
          <w:ilvl w:val="0"/>
          <w:numId w:val="12"/>
        </w:numPr>
        <w:ind w:left="720" w:hanging="360"/>
        <w:jc w:val="both"/>
        <w:rPr/>
      </w:pPr>
      <w:r>
        <w:rPr>
          <w:rFonts w:ascii="IBM Plex Sans" w:cs="IBM Plex Sans" w:eastAsia="IBM Plex Sans" w:hAnsi="IBM Plex Sans"/>
          <w:b w:val="1"/>
          <w:bCs w:val="1"/>
          <w:rtl w:val="0"/>
        </w:rPr>
        <w:t xml:space="preserve">Acceso remoto:</w:t>
      </w:r>
      <w:r>
        <w:rPr>
          <w:rFonts w:ascii="IBM Plex Sans" w:cs="IBM Plex Sans" w:eastAsia="IBM Plex Sans" w:hAnsi="IBM Plex Sans"/>
          <w:rtl w:val="0"/>
        </w:rPr>
        <w:t xml:space="preserve">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p>
    <w:p w:rsidR="00000000" w:rsidDel="00000000" w:rsidP="00000000" w:rsidRDefault="00000000" w:rsidRPr="00000000" w14:paraId="1000001C">
      <w:pPr>
        <w:pStyle w:val="Heading2"/>
        <w:keepNext/>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1000001D">
      <w:pPr>
        <w:numPr>
          <w:ilvl w:val="0"/>
          <w:numId w:val="12"/>
        </w:numPr>
        <w:ind w:left="720" w:hanging="360"/>
        <w:jc w:val="both"/>
        <w:rPr/>
      </w:pPr>
      <w:r>
        <w:rPr>
          <w:rFonts w:ascii="IBM Plex Sans" w:cs="IBM Plex Sans" w:eastAsia="IBM Plex Sans" w:hAnsi="IBM Plex Sans"/>
          <w:b w:val="1"/>
          <w:bCs w:val="1"/>
          <w:rtl w:val="0"/>
        </w:rPr>
        <w:t xml:space="preserve">Historial por dibujo:</w:t>
      </w:r>
      <w:r>
        <w:rPr>
          <w:rFonts w:ascii="IBM Plex Sans" w:cs="IBM Plex Sans" w:eastAsia="IBM Plex Sans" w:hAnsi="IBM Plex Sans"/>
          <w:rtl w:val="0"/>
        </w:rPr>
        <w:t xml:space="preserve">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p>
    <w:p w:rsidR="00000000" w:rsidDel="00000000" w:rsidP="00000000" w:rsidRDefault="00000000" w:rsidRPr="00000000" w14:paraId="1000001E">
      <w:pPr>
        <w:numPr>
          <w:ilvl w:val="0"/>
          <w:numId w:val="12"/>
        </w:numPr>
        <w:ind w:left="720" w:hanging="360"/>
        <w:jc w:val="both"/>
        <w:rPr/>
      </w:pPr>
      <w:r>
        <w:rPr>
          <w:rFonts w:ascii="IBM Plex Sans" w:cs="IBM Plex Sans" w:eastAsia="IBM Plex Sans" w:hAnsi="IBM Plex Sans"/>
          <w:b w:val="1"/>
          <w:bCs w:val="1"/>
          <w:rtl w:val="0"/>
        </w:rPr>
        <w:t xml:space="preserve">Metros producidos:</w:t>
      </w:r>
      <w:r>
        <w:rPr>
          <w:rFonts w:ascii="IBM Plex Sans" w:cs="IBM Plex Sans" w:eastAsia="IBM Plex Sans" w:hAnsi="IBM Plex Sans"/>
          <w:rtl w:val="0"/>
        </w:rPr>
        <w:t xml:space="preserve">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p>
    <w:p w:rsidR="00000000" w:rsidDel="00000000" w:rsidP="00000000" w:rsidRDefault="00000000" w:rsidRPr="00000000" w14:paraId="1000001F">
      <w:pPr>
        <w:numPr>
          <w:ilvl w:val="0"/>
          <w:numId w:val="12"/>
        </w:numPr>
        <w:ind w:left="720" w:hanging="360"/>
        <w:jc w:val="both"/>
        <w:rPr/>
      </w:pPr>
      <w:r>
        <w:rPr>
          <w:rFonts w:ascii="IBM Plex Sans" w:cs="IBM Plex Sans" w:eastAsia="IBM Plex Sans" w:hAnsi="IBM Plex Sans"/>
          <w:b w:val="1"/>
          <w:bCs w:val="1"/>
          <w:rtl w:val="0"/>
        </w:rPr>
        <w:t xml:space="preserve">Ficha técnica descargable:</w:t>
      </w:r>
      <w:r>
        <w:rPr>
          <w:rFonts w:ascii="IBM Plex Sans" w:cs="IBM Plex Sans" w:eastAsia="IBM Plex Sans" w:hAnsi="IBM Plex Sans"/>
          <w:rtl w:val="0"/>
        </w:rPr>
        <w:t xml:space="preserv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p>
    <w:p w:rsidR="00000000" w:rsidDel="00000000" w:rsidP="00000000" w:rsidRDefault="00000000" w:rsidRPr="00000000" w14:paraId="10000020">
      <w:pPr>
        <w:numPr>
          <w:ilvl w:val="0"/>
          <w:numId w:val="12"/>
        </w:numPr>
        <w:ind w:left="720" w:hanging="360"/>
        <w:jc w:val="both"/>
        <w:rPr/>
      </w:pPr>
      <w:r>
        <w:rPr>
          <w:rFonts w:ascii="IBM Plex Sans" w:cs="IBM Plex Sans" w:eastAsia="IBM Plex Sans" w:hAnsi="IBM Plex Sans"/>
          <w:b w:val="1"/>
          <w:bCs w:val="1"/>
          <w:rtl w:val="0"/>
        </w:rPr>
        <w:t xml:space="preserve">Condición previa:</w:t>
      </w:r>
      <w:r>
        <w:rPr>
          <w:rFonts w:ascii="IBM Plex Sans" w:cs="IBM Plex Sans" w:eastAsia="IBM Plex Sans" w:hAnsi="IBM Plex Sans"/>
          <w:rtl w:val="0"/>
        </w:rPr>
        <w:t xml:space="preserve">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p>
    <w:p w:rsidR="00000000" w:rsidDel="00000000" w:rsidP="00000000" w:rsidRDefault="00000000" w:rsidRPr="00000000" w14:paraId="00000220">
      <w:pPr>
        <w:pStyle w:val="Heading1"/>
        <w:keepNext/>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keepNext/>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keepNext/>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keepNext/>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keepNext/>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keepNext/>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keepNext/>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10000021">
      <w:pPr>
        <w:pStyle w:val="Heading2"/>
        <w:keepNext/>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10000022">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10000023">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10000024">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10000025">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10000026">
      <w:pPr>
        <w:pStyle w:val="Heading2"/>
        <w:keepNext/>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10000027">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10000028">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10000029">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1000002A">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1000002B">
      <w:pPr>
        <w:pStyle w:val="Heading2"/>
        <w:keepNext/>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1000002C">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100000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1000002E">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1000002F">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gutter="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doNotExpandShiftReturn/>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