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los botones de Marcha, Pausa y Retroceder mediante relés optoacoplados conectados en paralelo a la botonera física existente. La sincronización y el conteo de pasadas se ejecutan a través de un sensor inductivo/óptico montado sobre la estructura mecánica.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pasada; celda 1 = la bobina se activa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