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Marcha/Pausa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220 a 470 µF, módulo relé de 2 canales (5 V, optoacoplado, activo-bajo) para Marcha y Pausa, módulo relé individual (activo-alto) para Retroceder, 3 optoacopladores PC817, 3 puentes rectificadores DB157, 3 capacitores electrolíticos de 22 a 47 µF 50 V, 3 resistencias de 2,2 kΩ 1 W, 6 resistencias de 10 kΩ ¼ W, 3 capacitores cerámicos de 100 nF, placa universal, borneras y cable multifilar.</w:t>
      </w:r>
    </w:p>
    <w:p>
      <w:pPr>
        <w:pStyle w:val="Heading1"/>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220 a 470 µF entre 5 V y GND, cerca de los módulos de relé.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(IN3, GPIO 27) va en un módulo aparte que es activo-alto: lleva la resistencia de 10 kΩ a GND (pull-down), no a 3,3 V; con pull-up arrancaría cerrado.</w:t>
      </w:r>
    </w:p>
    <w:p>
      <w:pPr>
        <w:pStyle w:val="ListParagraph"/>
        <w:numPr>
          <w:ilvl w:val="0"/>
          <w:numId w:val="4"/>
        </w:numPr>
        <w:spacing w:after="100"/>
      </w:pPr>
      <w:r>
        <w:t xml:space="preserve">Los otros 2 capacitores cerámicos 100nF: uno cerca del pin de alimentación del ESP32 y otro cerca del módulo de relés, como desacople local para reducir ruido que pueda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por canal, puente DB157, capacitor de 22 a 47 µF, resistencia de 2,2 kΩ 1 W y PC817, con la salida a GPIO 32, 33 y 34 y una resistencia de 10 kΩ de cada pin a 3,3 V (ver el diagrama del Bloque A).</w:t>
      </w:r>
    </w:p>
    <w:p>
      <w:pPr>
        <w:pStyle w:val="Heading1"/>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2,5s) y seguir probando en banco, verificando que los pulsos de relé respondan a los cambios de estado enviados desde el backend/web.</w:t>
      </w:r>
    </w:p>
    <w:p>
      <w:pPr>
        <w:pStyle w:val="Heading1"/>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y ver que la web lo refleje.</w:t>
      </w:r>
    </w:p>
    <w:p>
      <w:pPr>
        <w:pStyle w:val="Heading1"/>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