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Septiembre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r>
        <w:t xml:space="preserv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cada lector se corta con una llave: en vez de que sea el papel el que interrumpa el haz, lo hace un interruptor electrónico que entrega un 1 o un 0. Las plaquetas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y corriente en la salida de un lector óptico. </w:t>
      </w:r>
      <w:r>
        <w:rPr>
          <w:rFonts w:ascii="IBM Plex Sans" w:cs="IBM Plex Sans" w:eastAsia="IBM Plex Sans" w:hAnsi="IBM Plex Sans"/>
          <w:sz w:val="22"/>
          <w:szCs w:val="22"/>
        </w:rPr>
        <w:t xml:space="preserve">Define qué relé de estado sólido comprar. Se mide con el multímetro sobre los terminales del lector, con el telar encendido.</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abre o cierra el circuito. </w:t>
      </w:r>
      <w:r>
        <w:rPr>
          <w:rFonts w:ascii="IBM Plex Sans" w:cs="IBM Plex Sans" w:eastAsia="IBM Plex Sans" w:hAnsi="IBM Plex Sans"/>
          <w:sz w:val="22"/>
          <w:szCs w:val="22"/>
        </w:rPr>
        <w:t xml:space="preserve">Define si el relé LCA110 va en serie o en paralelo con el lector. Se ve comparando la medición con un agujero delante del lector y sin él.</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uno completo.</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Nanoamperes</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 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comprar ni conectar. Solo con las puntas del multímetro, sin desconectar nada.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3 y 4, la salida: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los relés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Las patas 4 y 6 van en el circuito del lector óptico; la 3 y la 5 quedan sin conectar. Cómo se colocan depende de lo que haya dado la medición del paso 1:</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CIERRA el circuito: </w:t>
      </w:r>
      <w:r>
        <w:rPr>
          <w:rFonts w:ascii="IBM Plex Sans" w:cs="IBM Plex Sans" w:eastAsia="IBM Plex Sans" w:hAnsi="IBM Plex Sans"/>
          <w:sz w:val="22"/>
          <w:szCs w:val="22"/>
        </w:rPr>
        <w:t xml:space="preserve">el relé va en paralelo con el lector. Cerrarlo equivale a que pase el agujero.</w:t>
      </w:r>
    </w:p>
    <w:p>
      <w:pPr>
        <w:pStyle w:val="ListParagraph"/>
        <w:numPr>
          <w:ilvl w:val="0"/>
          <w:numId w:val="2"/>
        </w:numPr>
        <w:spacing w:after="90"/>
      </w:pPr>
      <w:r>
        <w:rPr>
          <w:rFonts w:ascii="IBM Plex Sans" w:cs="IBM Plex Sans" w:eastAsia="IBM Plex Sans" w:hAnsi="IBM Plex Sans"/>
          <w:b/>
          <w:bCs/>
          <w:sz w:val="22"/>
          <w:szCs w:val="22"/>
        </w:rPr>
        <w:t xml:space="preserve">Si el agujero ABRE el circuito: </w:t>
      </w:r>
      <w:r>
        <w:rPr>
          <w:rFonts w:ascii="IBM Plex Sans" w:cs="IBM Plex Sans" w:eastAsia="IBM Plex Sans" w:hAnsi="IBM Plex Sans"/>
          <w:sz w:val="22"/>
          <w:szCs w:val="22"/>
        </w:rPr>
        <w:t xml:space="preserve">el relé va en serie, intercalado en uno de los dos hilos. Abrirlo equivale al agujero.</w:t>
      </w:r>
    </w:p>
    <w:p>
      <w:pPr>
        <w:spacing w:after="120"/>
      </w:pPr>
      <w:r>
        <w:rPr>
          <w:rFonts w:ascii="IBM Plex Sans" w:cs="IBM Plex Sans" w:eastAsia="IBM Plex Sans" w:hAnsi="IBM Plex Sans"/>
          <w:sz w:val="22"/>
          <w:szCs w:val="22"/>
        </w:rPr>
        <w:t xml:space="preserve">En cualquiera de los dos casos hay que cortar uno de los hilos del lector para intercalar el relé, o derivar de sus terminales.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hilos antes de cortar. </w:t>
      </w:r>
      <w:r>
        <w:rPr>
          <w:rFonts w:ascii="IBM Plex Sans" w:cs="IBM Plex Sans" w:eastAsia="IBM Plex Sans" w:hAnsi="IBM Plex Sans"/>
          <w:sz w:val="21"/>
          <w:szCs w:val="21"/>
        </w:rPr>
        <w:t xml:space="preserve">Reconectar el circuito del lector sin haber anotado qué hilo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Patas 3 y 4 del relé a los dos hilos del lector óptico, en serie o en paralelo según la medición.</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genera el sistema.</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Conectar un único lector y verificar que el sistema pueda reproducir lo que hace el papel. Recién cuando ese canal funcione, sumar los otros dos.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escribir en esas salidas los valores de la fila actual del dibujo.</w:t>
      </w:r>
    </w:p>
    <w:p>
      <w:pPr>
        <w:pStyle w:val="ListParagraph"/>
        <w:numPr>
          <w:ilvl w:val="0"/>
          <w:numId w:val="2"/>
        </w:numPr>
        <w:spacing w:after="90"/>
      </w:pPr>
      <w:r>
        <w:rPr>
          <w:rFonts w:ascii="IBM Plex Sans" w:cs="IBM Plex Sans" w:eastAsia="IBM Plex Sans" w:hAnsi="IBM Plex Sans"/>
          <w:sz w:val="22"/>
          <w:szCs w:val="22"/>
        </w:rPr>
        <w:t xml:space="preserve">La función marcosActivosDeFila del backend ya devuelve exactamente esa información.</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Terminar el Bloque A en el telar.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