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final: 14/11/2026</w:t>
            </w:r>
          </w:p>
        </w:tc>
      </w:tr>
    </w:tbl>
    <w:p>
      <w:pPr>
        <w:pStyle w:val="Heading2"/>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200"/>
      </w:tblGrid>
      <w:tr>
        <w:trPr>
          <w:tblHeader/>
        </w:trPr>
        <w:tc>
          <w:tcPr>
            <w:tcW w:type="dxa" w:w="1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4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3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320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320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Falta pasarlo a la plaqueta, conectarlo al Nivel 2 en la máquina y validar el conteo.</w:t>
            </w:r>
          </w:p>
        </w:tc>
      </w:tr>
      <w:tr>
        <w:tc>
          <w:tcPr>
            <w:tcW w:type="dxa" w:w="1500"/>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4200"/>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320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Falta medir la alimentación y la señal del lector, terminar la plaqueta y conectarlos.</w:t>
            </w:r>
          </w:p>
        </w:tc>
      </w:tr>
    </w:tbl>
    <w:p>
      <w:pPr>
        <w:pStyle w:val="Heading1"/>
        <w:spacing w:after="120" w:before="330"/>
      </w:pPr>
      <w:r>
        <w:rPr>
          <w:rFonts w:ascii="Questrial" w:cs="Questrial" w:eastAsia="Questrial" w:hAnsi="Questrial"/>
          <w:b/>
          <w:bCs/>
          <w:color w:val="1E3A5F"/>
          <w:sz w:val="27"/>
          <w:szCs w:val="27"/>
        </w:rPr>
        <w:t xml:space="preserve">5. Bloque A, el hardware ya construido</w:t>
      </w:r>
    </w:p>
    <w:p>
      <w:pPr>
        <w:pStyle w:val="Heading2"/>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y se está haciendo la plaqueta para probarlo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Lo que falta: pasarlo a la plaqueta, conectarlo al Nivel 2 en la máquina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spacing w:after="120" w:before="330"/>
      </w:pPr>
      <w:r>
        <w:rPr>
          <w:rFonts w:ascii="Questrial" w:cs="Questrial" w:eastAsia="Questrial" w:hAnsi="Questrial"/>
          <w:b/>
          <w:bCs/>
          <w:color w:val="1E3A5F"/>
          <w:sz w:val="27"/>
          <w:szCs w:val="27"/>
        </w:rPr>
        <w:t xml:space="preserve">7. Bloque D, la selección del dibujo</w:t>
      </w:r>
    </w:p>
    <w:p>
      <w:pPr>
        <w:pStyle w:val="Heading2"/>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el G3VM-61A1 de Omron o el TLP3021 de Toshiba, teniendo en cuenta que cada uno tiene su propia disposición de patas.</w:t>
      </w:r>
    </w:p>
    <w:p>
      <w:pPr>
        <w:pStyle w:val="Heading2"/>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Tensión de alimentación del lector y corriente con la resistencia de protección en el lugar del relé (se esperan menos de 20 mA). </w:t>
      </w:r>
      <w:r>
        <w:rPr>
          <w:rFonts w:ascii="IBM Plex Sans" w:cs="IBM Plex Sans" w:eastAsia="IBM Plex Sans" w:hAnsi="IBM Plex Sans"/>
          <w:sz w:val="21"/>
          <w:szCs w:val="21"/>
        </w:rPr>
        <w:t xml:space="preserve">La tensión define la resistencia de protección (220 Ω 2 W hasta 15 V, 470 Ω 3 W de 15 a 30 V) y la corriente confirma el LCA110.</w:t>
      </w:r>
    </w:p>
    <w:p>
      <w:pPr>
        <w:pStyle w:val="ListParagraph"/>
        <w:numPr>
          <w:ilvl w:val="0"/>
          <w:numId w:val="2"/>
        </w:numPr>
        <w:spacing w:after="80"/>
      </w:pPr>
      <w:r>
        <w:rPr>
          <w:rFonts w:ascii="IBM Plex Sans" w:cs="IBM Plex Sans" w:eastAsia="IBM Plex Sans" w:hAnsi="IBM Plex Sans"/>
          <w:b/>
          <w:bCs/>
          <w:sz w:val="21"/>
          <w:szCs w:val="21"/>
        </w:rPr>
        <w:t xml:space="preserve">Qué hace la señal del lector con agujero. </w:t>
      </w:r>
      <w:r>
        <w:rPr>
          <w:rFonts w:ascii="IBM Plex Sans" w:cs="IBM Plex Sans" w:eastAsia="IBM Plex Sans" w:hAnsi="IBM Plex Sans"/>
          <w:sz w:val="21"/>
          <w:szCs w:val="21"/>
        </w:rPr>
        <w:t xml:space="preserve">Con agujero +V confirma la conexión final; con 0 V sería la variante 2B.</w:t>
      </w:r>
    </w:p>
    <w:p>
      <w:pPr>
        <w:spacing w:after="110"/>
      </w:pPr>
      <w:r>
        <w:rPr>
          <w:rFonts w:ascii="IBM Plex Sans" w:cs="IBM Plex Sans" w:eastAsia="IBM Plex Sans" w:hAnsi="IBM Plex Sans"/>
          <w:sz w:val="21"/>
          <w:szCs w:val="21"/>
        </w:rPr>
        <w:t xml:space="preserve">Recomendación: armar un canal completo, probarlo en la máquina y recién entonces conectar los tres restantes.</w:t>
      </w:r>
    </w:p>
    <w:p>
      <w:pPr>
        <w:pStyle w:val="Heading1"/>
        <w:spacing w:after="120" w:before="330"/>
      </w:pPr>
      <w:r>
        <w:rPr>
          <w:rFonts w:ascii="Questrial" w:cs="Questrial" w:eastAsia="Questrial" w:hAnsi="Questrial"/>
          <w:b/>
          <w:bCs/>
          <w:color w:val="1E3A5F"/>
          <w:sz w:val="27"/>
          <w:szCs w:val="27"/>
        </w:rPr>
        <w:t xml:space="preserve">8. El software</w:t>
      </w:r>
    </w:p>
    <w:p>
      <w:pPr>
        <w:pStyle w:val="Heading2"/>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pStyle w:val="Heading2"/>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y su producción;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y el dibujo que tiene asignado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160 tareas en 8 etapas.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25 verificaciones a realizar antes y durante la instalación.</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Medir en la máquina la alimentación del lector, qué hace su señal con agujero y la corriente con la resistencia de protección en el lugar del relé.</w:t>
      </w:r>
    </w:p>
    <w:p>
      <w:pPr>
        <w:pStyle w:val="ListParagraph"/>
        <w:numPr>
          <w:ilvl w:val="0"/>
          <w:numId w:val="2"/>
        </w:numPr>
        <w:spacing w:after="80"/>
      </w:pPr>
      <w:r>
        <w:rPr>
          <w:rFonts w:ascii="IBM Plex Sans" w:cs="IBM Plex Sans" w:eastAsia="IBM Plex Sans" w:hAnsi="IBM Plex Sans"/>
          <w:b/>
          <w:bCs/>
          <w:sz w:val="21"/>
          <w:szCs w:val="21"/>
        </w:rPr>
        <w:t>Hecho el 19/09/2026: 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Bloque C: conectar el sensor, ya montado,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probar un canal en la máquina antes de conectar los cuatro.</w:t>
      </w:r>
    </w:p>
    <w:p>
      <w:pPr>
        <w:pStyle w:val="Heading2"/>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base de datos.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