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($29.642.903,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$29.642.903</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$7.410.726</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$37.053.629 / $7.410.726</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($73.653),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$34.536 = $48.486),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5.9)</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($37.053.629), no contra el costo puro: la diferencia entre ambos ($7.410.726)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$48.486) queda condicionado a que la medición del telar (tarea 5.9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 Pausa y Retroceder; Nivel 2: selección del dibujo con relés LCA110,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 (instalado y probado en el telar el 19/09/2026).</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($122.139)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$11.738.590</w:t>
            </w:r>
          </w:p>
        </w:tc>
        <w:tc>
          <w:tcPr>
            <w:tcW w:type="dxa" w:w="2500"/>
            <w:vAlign w:val="center"/>
          </w:tcPr>
          <w:p>
            <w:r>
              <w:rPr>
                <w:b w:val="false"/>
                <w:bCs w:val="false"/>
                <w:color w:val="000000"/>
                <w:sz w:val="19"/>
                <w:szCs w:val="19"/>
              </w:rPr>
              <w:t xml:space="preserve">$14.673.237</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$17.904.313</w:t>
            </w:r>
          </w:p>
        </w:tc>
        <w:tc>
          <w:tcPr>
            <w:tcW w:type="dxa" w:w="2500"/>
            <w:vAlign w:val="center"/>
          </w:tcPr>
          <w:p>
            <w:r>
              <w:rPr>
                <w:b w:val="false"/>
                <w:bCs w:val="false"/>
                <w:color w:val="000000"/>
                <w:sz w:val="19"/>
                <w:szCs w:val="19"/>
              </w:rPr>
              <w:t xml:space="preserve">$22.380.392</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$29.642.903</w:t>
            </w:r>
          </w:p>
        </w:tc>
        <w:tc>
          <w:tcPr>
            <w:tcW w:type="dxa" w:w="2500"/>
            <w:shd w:fill="D9E1F2" w:val="clear"/>
            <w:vAlign w:val="center"/>
          </w:tcPr>
          <w:p>
            <w:r>
              <w:rPr>
                <w:b/>
                <w:bCs/>
                <w:color w:val="000000"/>
                <w:sz w:val="19"/>
                <w:szCs w:val="19"/>
              </w:rPr>
              <w:t xml:space="preserve">$37.053.629</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($37.053.629).</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$7.410.726 sobre un presupuesto final de $37.053.629. La garantía del sistema entregado queda fijada entre 1 y 3 meses desde la aceptación, cubriendo soporte de software/firmware sin costo adicional durante ese período. Además del paquete combinado, el equipo tiene la opción de vender Hardware ($14.673.237) y Software ($22.380.392) por separado, ampliando el mercado posible sin cambiar el costo total del proyecto. La garantía ya está incorporada a la Documentación de Proyecto (Sección 10.7).</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