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$6.660.399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72,30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$3.936.193</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$5.232.629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$31.844.539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Después de medir el lector (medido el 17/10/2026)</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$31.844.539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$32.076.353</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$8.019.088</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$40.095.441</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$32.076.353 de costo total, el 99,3% ($31.844.539)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643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$38.200.000 (y el presupuesto final con margen a cerca de $48.100.000),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$32.076.353 (personal + componentes + gastos varios), se aplica un margen del 25%, lo que deja una ganancia proyectada de $8.019.088 sobre un presupuesto final de $40.095.441.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con la medición del lector óptico, hecha el 17/10/2026.</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($40.095.441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$32.076.353, compuesto casi en su totalidad (99,3%) por el valor del trabajo del equipo y solo marginalmente (0,7%, $231.814) por dinero que realmente hay que desembolsar en componentes y gastos operativos. Con el margen del 25% ya usado en la plantilla original, el presupuesto final asciende a $40.095.441, dejando una ganancia proyectada de $8.019.088.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