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2 o 3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 desmontable hacia cada lector. Con 3 vías se usan los bornes de los extremos y el del medio queda libre</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w:t>
      </w:r>
      <w:r>
        <w:rPr>
          <w:rFonts w:ascii="IBM Plex Sans" w:cs="IBM Plex Sans" w:eastAsia="IBM Plex Sans" w:hAnsi="IBM Plex Sans"/>
          <w:sz w:val="21"/>
          <w:szCs w:val="21"/>
        </w:rPr>
        <w:t xml:space="preserve"> en la máquina (sección 5). Decide si el relé va en paralelo o en serie.</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a un lector</w:t>
      </w:r>
      <w:r>
        <w:rPr>
          <w:rFonts w:ascii="IBM Plex Sans" w:cs="IBM Plex Sans" w:eastAsia="IBM Plex Sans" w:hAnsi="IBM Plex Sans"/>
          <w:sz w:val="21"/>
          <w:szCs w:val="21"/>
        </w:rPr>
        <w:t xml:space="preserve"> con el telar apagado (sección 8) y ajustar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cortar un cable (caso en serie), </w:t>
      </w:r>
      <w:r>
        <w:rPr>
          <w:rFonts w:ascii="IBM Plex Sans" w:cs="IBM Plex Sans" w:eastAsia="IBM Plex Sans" w:hAnsi="IBM Plex Sans"/>
          <w:b/>
          <w:bCs/>
          <w:sz w:val="21"/>
          <w:szCs w:val="21"/>
        </w:rPr>
        <w:t xml:space="preserve">marcalo con cinta</w:t>
      </w:r>
      <w:r>
        <w:rPr>
          <w:rFonts w:ascii="IBM Plex Sans" w:cs="IBM Plex Sans" w:eastAsia="IBM Plex Sans" w:hAnsi="IBM Plex Sans"/>
          <w:sz w:val="21"/>
          <w:szCs w:val="21"/>
        </w:rPr>
        <w:t xml:space="preserve"> de los dos lados.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w:t>
      </w:r>
      <w:r>
        <w:rPr>
          <w:rFonts w:ascii="IBM Plex Sans" w:cs="IBM Plex Sans" w:eastAsia="IBM Plex Sans" w:hAnsi="IBM Plex Sans"/>
          <w:b/>
          <w:bCs/>
          <w:sz w:val="21"/>
          <w:szCs w:val="21"/>
        </w:rPr>
        <w:t xml:space="preserve">nunca en la alimentación de las bobinas</w:t>
      </w:r>
      <w:r>
        <w:rPr>
          <w:rFonts w:ascii="IBM Plex Sans" w:cs="IBM Plex Sans" w:eastAsia="IBM Plex Sans" w:hAnsi="IBM Plex Sans"/>
          <w:sz w:val="21"/>
          <w:szCs w:val="21"/>
        </w:rPr>
        <w:t xml:space="preserve">.</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y en marcha lenta. Anotá cada resultado: el paso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en la salida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y en alterna entre los dos cables de salida</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24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350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Medir con papel tapando y con un agujero frente al lector</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 entre dos valores</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Paralelo o serie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circuito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mA intercalado en un cable, con el agujero presente</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 5 a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w:t>
            </w:r>
            <w:r>
              <w:rPr>
                <w:rFonts w:ascii="IBM Plex Sans" w:cs="IBM Plex Sans" w:eastAsia="IBM Plex Sans" w:hAnsi="IBM Plex Sans"/>
                <w:sz w:val="20"/>
                <w:szCs w:val="20"/>
              </w:rPr>
              <w:t xml:space="preserve">El multímetro en mA se intercala en el cable, nunca se conecta entre los dos cables: así haría un cortocircuito.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3733800"/>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Un canal completo: lado del ESP32, relé y lado del telar, con los casos en paralelo y en serie.</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w:t>
      </w:r>
      <w:r>
        <w:rPr>
          <w:rFonts w:ascii="IBM Plex Sans" w:cs="IBM Plex Sans" w:eastAsia="IBM Plex Sans" w:hAnsi="IBM Plex Sans"/>
          <w:b/>
          <w:bCs/>
          <w:sz w:val="21"/>
          <w:szCs w:val="21"/>
        </w:rPr>
        <w:t xml:space="preserve">apagado</w:t>
      </w:r>
      <w:r>
        <w:rPr>
          <w:rFonts w:ascii="IBM Plex Sans" w:cs="IBM Plex Sans" w:eastAsia="IBM Plex Sans" w:hAnsi="IBM Plex Sans"/>
          <w:sz w:val="21"/>
          <w:szCs w:val="21"/>
        </w:rPr>
        <w:t xml:space="preserve">. Las patas 4 y 6 no tienen polaridad: da igual cuál va a cada lado. Cómo se conectan depende de la medición de la sección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blHeader/>
        </w:trPr>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CIERRA el circuito</w:t>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ABRE el circuito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Cómo va el relé</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paralelo con el lector</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serie, intercalado en un cable</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Patas 4 y 6 a los dos cables de salida del lector, sin cortar nada</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Marcar un cable, cortarlo y conectar la pata 4 a un extremo y la 6 al otro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 true (como viene)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Cambiar a CANAL_ACTIVO_EN_ALTO = false en control_trama_esp32/config.h</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ESP32 apagado</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y manda el lector</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todos los canales se leen como agujero</w:t>
            </w:r>
          </w:p>
        </w:tc>
      </w:tr>
    </w:tbl>
    <w:p>
      <w:pPr>
        <w:spacing w:after="60"/>
      </w:pPr>
    </w:p>
    <w:p>
      <w:pPr>
        <w:spacing w:after="120" w:line="290"/>
      </w:pPr>
      <w:r>
        <w:rPr>
          <w:rFonts w:ascii="IBM Plex Sans" w:cs="IBM Plex Sans" w:eastAsia="IBM Plex Sans" w:hAnsi="IBM Plex Sans"/>
          <w:sz w:val="21"/>
          <w:szCs w:val="21"/>
        </w:rPr>
        <w:t xml:space="preserve">Con una bornera de </w:t>
      </w:r>
      <w:r>
        <w:rPr>
          <w:rFonts w:ascii="IBM Plex Sans" w:cs="IBM Plex Sans" w:eastAsia="IBM Plex Sans" w:hAnsi="IBM Plex Sans"/>
          <w:b/>
          <w:bCs/>
          <w:sz w:val="21"/>
          <w:szCs w:val="21"/>
        </w:rPr>
        <w:t xml:space="preserve">3 vías</w:t>
      </w:r>
      <w:r>
        <w:rPr>
          <w:rFonts w:ascii="IBM Plex Sans" w:cs="IBM Plex Sans" w:eastAsia="IBM Plex Sans" w:hAnsi="IBM Plex Sans"/>
          <w:sz w:val="21"/>
          <w:szCs w:val="21"/>
        </w:rPr>
        <w:t xml:space="preserve">, usá los bornes de los extremos y dejá el del medio libre: los dos tornillos quedan más separados. Nunca uses ese borne libre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Si va en serie: </w:t>
            </w:r>
            <w:r>
              <w:rPr>
                <w:rFonts w:ascii="IBM Plex Sans" w:cs="IBM Plex Sans" w:eastAsia="IBM Plex Sans" w:hAnsi="IBM Plex Sans"/>
                <w:sz w:val="20"/>
                <w:szCs w:val="20"/>
              </w:rPr>
              <w:t xml:space="preserve">con el ESP32 apagado o reiniciándose, los cuatro canales se leen como agujero, así que no hay que tejer con el Nivel 2 apagado. La conexión en paralelo no tiene este problema, porque con el ESP32 apagado la máquina vuelve a depender del lector.</w:t>
            </w:r>
          </w:p>
          <w:p>
            <w:pPr>
              <w:spacing w:after="0" w:line="280"/>
            </w:pPr>
            <w:r>
              <w:rPr>
                <w:rFonts w:ascii="IBM Plex Sans" w:cs="IBM Plex Sans" w:eastAsia="IBM Plex Sans" w:hAnsi="IBM Plex Sans"/>
                <w:b/>
                <w:bCs/>
                <w:color w:val="9C5C0A"/>
                <w:sz w:val="21"/>
                <w:szCs w:val="21"/>
              </w:rPr>
              <w:t xml:space="preserve">Otra opción es sacar el lector y conectar el relé en su lugar, directo a los bornes de la plaqueta. Ahí la conexión depende de quién pone la tensión de la señal: si la pone la plaqueta, el relé va entre los 2 bornes de señal (caso 1); si la ponía el lector, el relé va entre el + y la señal (caso 2A, el agujero es +V) o entre la señal y el − (caso 2B, el agujero es 0 V), con una resistencia de 10 kΩ ½ W que deja la señal en «papel» con el relé abierto. El paso a paso de la medición y los diagramas de los tres casos están en esp32/documentacion/PASO_A_PASO_RELES_LCA110.md y en diagramas/hardware (diagrama_bloque_D_caso1, caso2A y caso2B).</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El relé actúa </w:t>
      </w:r>
      <w:r>
        <w:rPr>
          <w:rFonts w:ascii="IBM Plex Sans" w:cs="IBM Plex Sans" w:eastAsia="IBM Plex Sans" w:hAnsi="IBM Plex Sans"/>
          <w:b/>
          <w:bCs/>
          <w:sz w:val="21"/>
          <w:szCs w:val="21"/>
        </w:rPr>
        <w:t xml:space="preserve">junto con</w:t>
      </w:r>
      <w:r>
        <w:rPr>
          <w:rFonts w:ascii="IBM Plex Sans" w:cs="IBM Plex Sans" w:eastAsia="IBM Plex Sans" w:hAnsi="IBM Plex Sans"/>
          <w:sz w:val="21"/>
          <w:szCs w:val="21"/>
        </w:rPr>
        <w:t xml:space="preserve"> el lector, no en su lugar. Para que el dibujo lo decida el ESP32, el lector tiene que ver siempre </w:t>
      </w:r>
      <w:r>
        <w:rPr>
          <w:rFonts w:ascii="IBM Plex Sans" w:cs="IBM Plex Sans" w:eastAsia="IBM Plex Sans" w:hAnsi="IBM Plex Sans"/>
          <w:b/>
          <w:bCs/>
          <w:sz w:val="21"/>
          <w:szCs w:val="21"/>
        </w:rPr>
        <w:t xml:space="preserve">cinta sin agujero</w:t>
      </w:r>
      <w:r>
        <w:rPr>
          <w:rFonts w:ascii="IBM Plex Sans" w:cs="IBM Plex Sans" w:eastAsia="IBM Plex Sans" w:hAnsi="IBM Plex Sans"/>
          <w:sz w:val="21"/>
          <w:szCs w:val="21"/>
        </w:rPr>
        <w:t xml:space="preserve">: dejá colocada una cinta sin perforar, o tapá el lector. Sin cinta, el lector ve luz todo el tiempo, que equivale a un agujero en cada pasada, y el ESP32 no podría controlar ese canal.</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 y no a la cinta.</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y fijate qué hace la máquina: tiene que coincidir con la última fila de la tabla de la sección 8.</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10/10/2026: el circuito se probó en protoboard con el ESP32 y funcionó. Se está haciendo la plaqueta para la prueba definitiva,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siempre activa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cinta con agujeros en ese lector</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cinta</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Configuración de paralelo y serie cruzada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CANAL_ACTIVO_EN_ALTO según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del lector menor a 120 mA.</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según paralelo o serie, MODO_BANCO en false y PORCENTAJE_SELECCION ajustado con la prueba de tejido.</w:t>
      </w:r>
    </w:p>
    <w:p>
      <w:pPr>
        <w:pStyle w:val="ListParagraph"/>
        <w:numPr>
          <w:ilvl w:val="0"/>
          <w:numId w:val="3"/>
        </w:numPr>
        <w:spacing w:after="80" w:line="290"/>
      </w:pPr>
      <w:r>
        <w:rPr>
          <w:rFonts w:ascii="IBM Plex Sans" w:cs="IBM Plex Sans" w:eastAsia="IBM Plex Sans" w:hAnsi="IBM Plex Sans"/>
          <w:sz w:val="21"/>
          <w:szCs w:val="21"/>
        </w:rPr>
        <w:t xml:space="preserve">Cinta sin perforar colocada, o lectores tapados.</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