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las matrices de tejido en el telar es un proceso manual, sin registro digital ni forma de repetirlo con exactitud.</w:t>
      </w:r>
    </w:p>
    <w:p w:rsidR="00000000" w:rsidDel="00000000" w:rsidP="00000000" w:rsidRDefault="00000000" w:rsidRPr="00000000" w14:paraId="00000009">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borraba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keepNext/>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cada fila lleva una sola bobina (en cada pasada entra una sola trama) y cada columna es una bobina de selección,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 Pausa y Retroceder según lo que indica el backend y avisando cuando alguien usa la botonera a mano.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keepNext/>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 Pausa y Retroceder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de la consulta anterior.</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reflejarlo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la pausa y el retroceso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Retroceder: </w:t>
      </w:r>
      <w:r>
        <w:rPr>
          <w:rFonts w:ascii="IBM Plex Sans" w:cs="IBM Plex Sans" w:eastAsia="IBM Plex Sans" w:hAnsi="IBM Plex Sans"/>
          <w:sz w:val="22"/>
          <w:szCs w:val="22"/>
          <w:rtl w:val="0"/>
        </w:rPr>
        <w:t xml:space="preserve">cada pedido de Retroceder desde la web se traduce en un pulso en su relé, siempre después de la Pausa.</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 El relevamiento confirmó que el telar de implementación (Vamatex C 201) no es un Jacquard de tarjetas sino un telar con cinta de papel perforada y cuatro bobinas de selección; la descripción de las dos máquinas conserva el análisis inicial.</w:t>
      </w:r>
    </w:p>
    <w:p w:rsidR="00000000" w:rsidDel="00000000" w:rsidP="00000000" w:rsidRDefault="00000000" w:rsidRPr="00000000" w14:paraId="00000042">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(Marcha/Pausa/Retroceder).</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la máquina lectora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Marcha, Pausa y Retroceder al telar mediante los tres relés en paralelo con la botonera. Estado: instalado y probado en el telar el 19/09/2026.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Marcha, sino que le entregue al telar la secuencia completa del dibujo (qué bobina se activa en cada pasada), ocupando el lugar de la cinta perforada. En este telar, la secuencia la lee un lector óptico sobre una cinta de papel perforada: con agujero, el lector da la señal que activa la bobina de selección de esa pasada. Llegar al Nivel 2 implica que esa señal la dé el sistema: un relé LCA110 en el lugar de cada lector óptico, comandado por el ESP32 con la secuencia que recibe del backend, y un sensor inductivo que cuenta las pasadas. Es un proyecto de hardware en sí mismo, y es el que se está desarrollando actualmente: se probó en protoboard el 10/10/2026 y en el telar el 17/10/2026 (el sensor de pasada y el primer canal), y al 20/10/2026 quedaron soldadas las plaquetas.</w:t>
      </w:r>
    </w:p>
    <w:p w:rsidR="00000000" w:rsidDel="00000000" w:rsidP="00000000" w:rsidRDefault="00000000" w:rsidRPr="00000000" w14:paraId="0000004B">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dibujo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En este sistema, cada pasada se reduce a indicar qué bobina de selección se activa: en cada pasada entra una sola trama.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(cada fila indica qué bobina se activa y cuántas pasadas seguidas se teje); el backend ya guarda y entrega esa secuencia por la API, sin necesidad de rediseñarlo; y el firmware del ESP32 pasa de accionar los 3 relés existentes (Marcha/Pausa/Retroceder) a accionar además los cuatro relés LCA110 de los lectores ópticos. En otras palabras: la parte de software ya estaba casi lista; lo que se sumó fue la parte física: un relé por lector óptico.</w:t>
      </w:r>
    </w:p>
    <w:p w:rsidR="00000000" w:rsidDel="00000000" w:rsidP="00000000" w:rsidRDefault="00000000" w:rsidRPr="00000000" w14:paraId="00000050">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1656"/>
        <w:gridCol w:w="2663"/>
        <w:gridCol w:w="3064"/>
        <w:gridCol w:w="1453"/>
        <w:tblGridChange w:id="0">
          <w:tblGrid>
            <w:gridCol w:w="2209"/>
            <w:gridCol w:w="2209"/>
            <w:gridCol w:w="2209"/>
            <w:gridCol w:w="2209"/>
          </w:tblGrid>
        </w:tblGridChange>
      </w:tblGrid>
      <w:tr>
        <w:trPr>
          <w:cantSplit/>
          <w:trHeight w:val="876.5234375" w:hRule="atLeast"/>
          <w:tblHeader w:val="0"/>
        </w:trPr>
        <w:tc>
          <w:tcPr>
            <w:tcW w:type="dxa" w:w="1656"/>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tcW w:type="dxa" w:w="2663"/>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tcW w:type="dxa" w:w="3064"/>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tcW w:type="dxa" w:w="1453"/>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tblHeader w:val="0"/>
        </w:trPr>
        <w:tc>
          <w:tcPr>
            <w:tcW w:type="dxa" w:w="1656"/>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tcW w:type="dxa" w:w="2663"/>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tcW w:type="dxa" w:w="3064"/>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tcW w:type="dxa" w:w="1453"/>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tcW w:type="dxa" w:w="2663"/>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tcW w:type="dxa" w:w="3064"/>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tcW w:type="dxa" w:w="1453"/>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tcW w:type="dxa" w:w="2663"/>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tcW w:type="dxa" w:w="3064"/>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tcW w:type="dxa" w:w="1453"/>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tcW w:type="dxa" w:w="2663"/>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tcW w:type="dxa" w:w="3064"/>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tcW w:type="dxa" w:w="1453"/>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tcW w:type="dxa" w:w="2663"/>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tcW w:type="dxa" w:w="3064"/>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tcW w:type="dxa" w:w="1453"/>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tcW w:type="dxa" w:w="2663"/>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tcW w:type="dxa" w:w="3064"/>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tcW w:type="dxa" w:w="1453"/>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Pendiente</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final del Nivel 2 y período de prueba en funcionamiento (todavía no realizada).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2042"/>
        <w:gridCol w:w="6796"/>
        <w:tblGridChange w:id="0">
          <w:tblGrid>
            <w:gridCol w:w="4419"/>
            <w:gridCol w:w="4419"/>
          </w:tblGrid>
        </w:tblGridChange>
      </w:tblGrid>
      <w:tr>
        <w:trPr>
          <w:cantSplit/>
          <w:tblHeader w:val="0"/>
        </w:trPr>
        <w:tc>
          <w:tcPr>
            <w:tcW w:type="dxa" w:w="2042"/>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tcW w:type="dxa" w:w="6796"/>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tblHeader w:val="0"/>
        </w:trPr>
        <w:tc>
          <w:tcPr>
            <w:tcW w:type="dxa" w:w="2042"/>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tcW w:type="dxa" w:w="6796"/>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tblHeader w:val="0"/>
        </w:trPr>
        <w:tc>
          <w:tcPr>
            <w:tcW w:type="dxa" w:w="2042"/>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tcW w:type="dxa" w:w="6796"/>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tblHeader w:val="0"/>
        </w:trPr>
        <w:tc>
          <w:tcPr>
            <w:tcW w:type="dxa" w:w="2042"/>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tcW w:type="dxa" w:w="6796"/>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tblHeader w:val="0"/>
        </w:trPr>
        <w:tc>
          <w:tcPr>
            <w:tcW w:type="dxa" w:w="2042"/>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tcW w:type="dxa" w:w="6796"/>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tblHeader w:val="0"/>
        </w:trPr>
        <w:tc>
          <w:tcPr>
            <w:tcW w:type="dxa" w:w="2042"/>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tcW w:type="dxa" w:w="6796"/>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2042"/>
        <w:gridCol w:w="6796"/>
        <w:tblGridChange w:id="0">
          <w:tblGrid>
            <w:gridCol w:w="4419"/>
            <w:gridCol w:w="4419"/>
          </w:tblGrid>
        </w:tblGridChange>
      </w:tblGrid>
      <w:tr>
        <w:trPr>
          <w:cantSplit/>
          <w:tblHeader w:val="0"/>
        </w:trPr>
        <w:tc>
          <w:tcPr>
            <w:tcW w:type="dxa" w:w="2042"/>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tcW w:type="dxa" w:w="6796"/>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tblHeader w:val="0"/>
        </w:trPr>
        <w:tc>
          <w:tcPr>
            <w:tcW w:type="dxa" w:w="2042"/>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tcW w:type="dxa" w:w="6796"/>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tblHeader w:val="0"/>
        </w:trPr>
        <w:tc>
          <w:tcPr>
            <w:tcW w:type="dxa" w:w="2042"/>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tcW w:type="dxa" w:w="6796"/>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tblHeader w:val="0"/>
        </w:trPr>
        <w:tc>
          <w:tcPr>
            <w:tcW w:type="dxa" w:w="2042"/>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tcW w:type="dxa" w:w="6796"/>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tblHeader w:val="0"/>
        </w:trPr>
        <w:tc>
          <w:tcPr>
            <w:tcW w:type="dxa" w:w="2042"/>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tcW w:type="dxa" w:w="6796"/>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tblHeader w:val="0"/>
        </w:trPr>
        <w:tc>
          <w:tcPr>
            <w:tcW w:type="dxa" w:w="2042"/>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tcW w:type="dxa" w:w="6796"/>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109"/>
        <w:gridCol w:w="3119"/>
        <w:gridCol w:w="3610"/>
        <w:tblGridChange w:id="0">
          <w:tblGrid>
            <w:gridCol w:w="2946"/>
            <w:gridCol w:w="2946"/>
            <w:gridCol w:w="2946"/>
          </w:tblGrid>
        </w:tblGridChange>
      </w:tblGrid>
      <w:tr>
        <w:trPr>
          <w:cantSplit/>
          <w:tblHeader w:val="0"/>
        </w:trPr>
        <w:tc>
          <w:tcPr>
            <w:tcW w:type="dxa" w:w="2109"/>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tcW w:type="dxa" w:w="3119"/>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tcW w:type="dxa" w:w="3610"/>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tblHeader w:val="0"/>
        </w:trPr>
        <w:tc>
          <w:tcPr>
            <w:tcW w:type="dxa" w:w="2109"/>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tcW w:type="dxa" w:w="3119"/>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tcW w:type="dxa" w:w="3610"/>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tblHeader w:val="0"/>
        </w:trPr>
        <w:tc>
          <w:tcPr>
            <w:tcW w:type="dxa" w:w="2109"/>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tcW w:type="dxa" w:w="3119"/>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tcW w:type="dxa" w:w="3610"/>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tblHeader w:val="0"/>
        </w:trPr>
        <w:tc>
          <w:tcPr>
            <w:tcW w:type="dxa" w:w="2109"/>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tcW w:type="dxa" w:w="3119"/>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tcW w:type="dxa" w:w="3610"/>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eléctricas y la sincronización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 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el sensor inductivo por los inconvenientes que podría generar reutilizarlo.</w:t>
      </w:r>
    </w:p>
    <w:p w:rsidR="00000000" w:rsidDel="00000000" w:rsidP="00000000" w:rsidRDefault="00000000" w:rsidRPr="00000000" w14:paraId="000000AE">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las conexiones y ya se está coordinando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w:t>
      </w:r>
      <w:r>
        <w:rPr>
          <w:rFonts w:ascii="IBM Plex Sans" w:cs="IBM Plex Sans" w:eastAsia="IBM Plex Sans" w:hAnsi="IBM Plex Sans"/>
          <w:sz w:val="22"/>
          <w:szCs w:val="22"/>
          <w:rtl w:val="0"/>
        </w:rPr>
        <w:t xml:space="preserve">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w:t>
      </w:r>
      <w:r>
        <w:rPr>
          <w:rFonts w:ascii="IBM Plex Sans" w:cs="IBM Plex Sans" w:eastAsia="IBM Plex Sans" w:hAnsi="IBM Plex Sans"/>
          <w:sz w:val="22"/>
          <w:szCs w:val="22"/>
          <w:rtl w:val="0"/>
        </w:rPr>
        <w:t xml:space="preserve">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w:t>
      </w:r>
      <w:r>
        <w:rPr>
          <w:rFonts w:ascii="IBM Plex Sans" w:cs="IBM Plex Sans" w:eastAsia="IBM Plex Sans" w:hAnsi="IBM Plex Sans"/>
          <w:sz w:val="22"/>
          <w:szCs w:val="22"/>
          <w:rtl w:val="0"/>
        </w:rPr>
        <w:t xml:space="preserve">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w:t>
      </w:r>
      <w:r>
        <w:rPr>
          <w:rFonts w:ascii="IBM Plex Sans" w:cs="IBM Plex Sans" w:eastAsia="IBM Plex Sans" w:hAnsi="IBM Plex Sans"/>
          <w:sz w:val="22"/>
          <w:szCs w:val="22"/>
          <w:rtl w:val="0"/>
        </w:rPr>
        <w:t xml:space="preserve">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w:t>
      </w:r>
      <w:r>
        <w:rPr>
          <w:rFonts w:ascii="IBM Plex Sans" w:cs="IBM Plex Sans" w:eastAsia="IBM Plex Sans" w:hAnsi="IBM Plex Sans"/>
          <w:sz w:val="22"/>
          <w:szCs w:val="22"/>
          <w:rtl w:val="0"/>
        </w:rPr>
        <w:t xml:space="preserve">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w:t>
      </w:r>
      <w:r>
        <w:rPr>
          <w:rFonts w:ascii="IBM Plex Sans" w:cs="IBM Plex Sans" w:eastAsia="IBM Plex Sans" w:hAnsi="IBM Plex Sans"/>
          <w:sz w:val="22"/>
          <w:szCs w:val="22"/>
          <w:rtl w:val="0"/>
        </w:rPr>
        <w:t xml:space="preserve">Reunión interna del equipo para continuar con el armado del hardware. Se montó el nodo de control dentro del gabinete IP65: el microcontrolador, los dos módulos de relé (tres relés en total),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w:t>
      </w:r>
      <w:r>
        <w:rPr>
          <w:rFonts w:ascii="IBM Plex Sans" w:cs="IBM Plex Sans" w:eastAsia="IBM Plex Sans" w:hAnsi="IBM Plex Sans"/>
          <w:sz w:val="22"/>
          <w:szCs w:val="22"/>
          <w:rtl w:val="0"/>
        </w:rPr>
        <w:t xml:space="preserve">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w:t>
      </w:r>
      <w:r>
        <w:rPr>
          <w:rFonts w:ascii="IBM Plex Sans" w:cs="IBM Plex Sans" w:eastAsia="IBM Plex Sans" w:hAnsi="IBM Plex Sans"/>
          <w:sz w:val="22"/>
          <w:szCs w:val="22"/>
          <w:rtl w:val="0"/>
        </w:rPr>
        <w:t xml:space="preserve">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10/09/2026: </w:t>
      </w:r>
      <w:r>
        <w:rPr>
          <w:rFonts w:ascii="IBM Plex Sans" w:cs="IBM Plex Sans" w:eastAsia="IBM Plex Sans" w:hAnsi="IBM Plex Sans"/>
          <w:sz w:val="22"/>
          <w:szCs w:val="22"/>
          <w:rtl w:val="0"/>
        </w:rPr>
        <w:t xml:space="preserve">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19/09/2026: </w:t>
      </w:r>
      <w:r>
        <w:rPr>
          <w:rFonts w:ascii="IBM Plex Sans" w:cs="IBM Plex Sans" w:eastAsia="IBM Plex Sans" w:hAnsi="IBM Plex Sans"/>
          <w:sz w:val="22"/>
          <w:szCs w:val="22"/>
          <w:rtl w:val="0"/>
        </w:rPr>
        <w:t xml:space="preserve">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 y 24/09/2026: </w:t>
      </w:r>
      <w:r>
        <w:rPr>
          <w:rFonts w:ascii="IBM Plex Sans" w:cs="IBM Plex Sans" w:eastAsia="IBM Plex Sans" w:hAnsi="IBM Plex Sans"/>
          <w:sz w:val="22"/>
          <w:szCs w:val="22"/>
          <w:rtl w:val="0"/>
        </w:rPr>
        <w:t xml:space="preserve">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w:t>
      </w:r>
      <w:r>
        <w:rPr>
          <w:rFonts w:ascii="IBM Plex Sans" w:cs="IBM Plex Sans" w:eastAsia="IBM Plex Sans" w:hAnsi="IBM Plex Sans"/>
          <w:sz w:val="22"/>
          <w:szCs w:val="22"/>
          <w:rtl w:val="0"/>
        </w:rPr>
        <w:t xml:space="preserve">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11/10/2026: </w:t>
      </w:r>
      <w:r>
        <w:rPr>
          <w:rFonts w:ascii="IBM Plex Sans" w:cs="IBM Plex Sans" w:eastAsia="IBM Plex Sans" w:hAnsi="IBM Plex Sans"/>
          <w:sz w:val="22"/>
          <w:szCs w:val="22"/>
          <w:rtl w:val="0"/>
        </w:rPr>
        <w:t xml:space="preserve">Con los datos de la planta (con agujero, el lector da la señal que activa la bobina; mientras la misma bobina se repite, el relé queda activo y la aguja va y vuelve) se definió la conexión final de los relés LCA110, la más segura: el relé en el lugar del lector, con una resistencia de protección en serie (220 Ω 2 W hasta 15 V o 470 Ω 3 W de 15 a 30 V) y una de 10 kΩ ½ W de la señal al negativo. Se actualizaron los diagramas, las guías y las planillas de componentes. La ficha técnica en PDF pasó a mostrar el telar con más detalle (con los alimentadores de trama), una llave por vuelta y una regla a escala, sin el modelo del telar ni el recuadro de instrucciones. Se escribió el paso a paso de conexión y puesta en marcha, con las cuatro plaquetas del gabinete y su cableado.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14/10/2026: </w:t>
      </w:r>
      <w:r>
        <w:rPr>
          <w:rFonts w:ascii="IBM Plex Sans" w:cs="IBM Plex Sans" w:eastAsia="IBM Plex Sans" w:hAnsi="IBM Plex Sans"/>
          <w:sz w:val="22"/>
          <w:szCs w:val="22"/>
          <w:rtl w:val="0"/>
        </w:rPr>
        <w:t xml:space="preserve">Se separó el sensado de la botonera en una plaqueta propia, impresa (la plaqueta 5), que se une a la principal por el conector J4 (3,3 V, GND y GPIO 32, 33 y 34): el gabinete pasa a tener cinco plaquetas. Cada canal de sensado lleva un capacitor de 22 µF 50 V después del puente, que mantiene encendido el LED del optoacoplador entre semiciclos (sin él, se apagaría 100 veces por segundo y saldrían avisos solos); con ese valor, el botón tiene que mantenerse apretado entre 0,15 y 0,25 s para registrarse. El firmware descarta los avisos cuando dos o más canales de la botonera bajan juntos (dentro de 150 ms), que es lo que pasa al prender el telar con el gabinete encendido. Se hizo además una revisión completa del código, los documentos, las planillas y los diagramas.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16/10/2026: </w:t>
      </w:r>
      <w:r>
        <w:rPr>
          <w:rFonts w:ascii="IBM Plex Sans" w:cs="IBM Plex Sans" w:eastAsia="IBM Plex Sans" w:hAnsi="IBM Plex Sans"/>
          <w:sz w:val="22"/>
          <w:szCs w:val="22"/>
          <w:rtl w:val="0"/>
        </w:rPr>
        <w:t xml:space="preserve">Se armó el resumen de las conexiones de las cinco plaquetas para quien las arma (Conexiones_de_las_plaquetas.docx): qué lleva cada plaqueta, los conectores J1 a J4 y las borneras B1 a B3, el mapa de pines del ESP32 y la conexión pata por pata. Al revisar el diseño en curso en Proteus se marcaron seis correcciones: los relés LCA110 van en los GPIO 18, 19, 21 y 22; los capacitores del sensado, de 22 µF 50 V; el sensor se alimenta del telar, sin bornera aparte; los LCA110 van en zócalos DIP-6; la bornera de cada botón es doble, y el capacitor de la entrada de 5 V es de 470 µF. También se reorganizó el Gantt con las fechas reales: 166 tareas en 8 etapas, sin tareas repetidas, con la presentación a los profesores el 04/11/2026.</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17/10/2026: </w:t>
      </w:r>
      <w:r>
        <w:rPr>
          <w:rFonts w:ascii="IBM Plex Sans" w:cs="IBM Plex Sans" w:eastAsia="IBM Plex Sans" w:hAnsi="IBM Plex Sans"/>
          <w:sz w:val="22"/>
          <w:szCs w:val="22"/>
          <w:rtl w:val="0"/>
        </w:rPr>
        <w:t xml:space="preserve">Visita a la fábrica para probar el Nivel 2 en el telar, todavía armado en protoboard. Se midió la alimentación del lector óptico: da entre 15 y 30 V, así que la resistencia de protección de cada canal es la de 470 Ω 3 W. Se conectó y se calibró el sensor de pasada, que cuenta las pasadas de la máquina, y se conectó el primer canal de los relés LCA110 en el lugar del lector, con la conexión final: seleccionó bien. Quedan los otros tres canales, pasar el armado a las plaquetas soldadas (en curso) e instalar el gabinete en la planta.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19/10/2026: </w:t>
      </w:r>
      <w:r>
        <w:rPr>
          <w:rFonts w:ascii="IBM Plex Sans" w:cs="IBM Plex Sans" w:eastAsia="IBM Plex Sans" w:hAnsi="IBM Plex Sans"/>
          <w:sz w:val="22"/>
          <w:szCs w:val="22"/>
          <w:rtl w:val="0"/>
        </w:rPr>
        <w:t xml:space="preserve">La barra del editor muestra en qué pasada de la fila va el telar, por ejemplo «Fila 2 / 7 · pasada 45 de 120», y en un intercalado «pasada 57 de 120 del intercalado». Sirve para saber por qué parte del dibujo va la tela cuando una fila se teje muchas pasadas seguidas. Se fijó además el valor por hora de Electrónica (30 USD) y de Multimedios (27 USD), que no lo tenían: con eso el presupuesto pasa a $39.446.255 (costo $31.557.004 y ganancia $7.889.251), y en la planilla del Gantt cada renglón de la Estimación de Costos toma las horas y el valor de su propio rol.</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20/10/2026: </w:t>
      </w:r>
      <w:r>
        <w:rPr>
          <w:rFonts w:ascii="IBM Plex Sans" w:cs="IBM Plex Sans" w:eastAsia="IBM Plex Sans" w:hAnsi="IBM Plex Sans"/>
          <w:sz w:val="22"/>
          <w:szCs w:val="22"/>
          <w:rtl w:val="0"/>
        </w:rPr>
        <w:t xml:space="preserve">Se sumaron dos funciones a la aplicación. El modo solo sensado: un interruptor en la barra de estado del editor apaga y prende el control del telar desde la página. Apagado, la página no arranca, no pausa ni retrocede la máquina (el backend rechaza las órdenes y el ESP32 no acciona ningún relé, aunque cambie el estado), ▶ solo carga el dibujo y la máquina arranca con Marcha en la botonera; el sensado de la botonera y del sensor sigue igual y la página lleva la cuenta. La vista para clientes: cada dibujo puede tener una clave (TEJ-XXXX-XXXX), que el operario genera desde la ficha del dibujo; con «Soy cliente: ver mi tejido» el cliente entra y ve solo ese tejido, sin controles: si se está tejiendo, por qué fila y pasada va, los metros, cuánto lleva de su pedido y la vista previa de la tela. La clave se guarda con hash y cifrada, y generar una nueva invalida la anterior. Se agregaron las migraciones 023 y 024 (la base pasa a diez tablas) y se actualizaron los manuales, la documentación, los diagramas de la base y las capturas. En el Gantt se sumaron las tareas de las dos funciones (7,12 a 7,14) y se registró lo hecho el 17/10: quedan 169 tareas y 643 horas, y con ellas el presupuesto pasa a $40.095.441 (costo $32.076.353 y ganancia $8.019.088). Además, quedaron terminadas las cinco plaquetas soldadas (la tarea 7,2 del Gantt, completa): siguen instalar el gabinete en la planta y conectar los otros tres canales.</w:t>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