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br w:type="page"/>
      </w:r>
      <w:r w:rsidDel="00000000" w:rsidR="00000000" w:rsidRPr="00000000">
        <w:rPr>
          <w:rtl w:val="0"/>
        </w:rPr>
      </w:r>
    </w:p>
    <w:p w:rsidR="00000000" w:rsidDel="00000000" w:rsidP="00000000" w:rsidRDefault="00000000" w:rsidRPr="00000000" w14:paraId="00000001">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sidDel="00000000" w:rsidR="00000000" w:rsidRPr="00000000">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sidDel="00000000" w:rsidR="00000000" w:rsidRPr="00000000">
        <w:rPr>
          <w:rFonts w:ascii="Questrial" w:cs="Questrial" w:eastAsia="Questrial" w:hAnsi="Questrial"/>
          <w:rtl w:val="0"/>
        </w:rPr>
        <w:t>1. Control de Cambios</w:t>
      </w:r>
      <w:commentRangeEnd w:id="0"/>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objetivo primordial de este proyecto es modernizar digitalmente un telar Vamatex C201 que se ubica en una </w:t>
      </w:r>
      <w:r w:rsidDel="00000000" w:rsidR="00000000" w:rsidRPr="00000000">
        <w:rPr>
          <w:rFonts w:ascii="IBM Plex Sans" w:cs="IBM Plex Sans" w:eastAsia="IBM Plex Sans" w:hAnsi="IBM Plex Sans"/>
          <w:rtl w:val="0"/>
        </w:rPr>
        <w:t>fábrica textil</w:t>
      </w:r>
      <w:r w:rsidDel="00000000" w:rsidR="00000000" w:rsidRPr="00000000">
        <w:rPr>
          <w:rFonts w:ascii="IBM Plex Sans" w:cs="IBM Plex Sans" w:eastAsia="IBM Plex Sans" w:hAnsi="IBM Plex Sans"/>
          <w:rtl w:val="0"/>
        </w:rPr>
        <w:t xml:space="preserve">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1 (MVP, Control de Marcha/Pausa y Supervisión Externa):</w:t>
      </w:r>
      <w:r w:rsidDel="00000000" w:rsidR="00000000" w:rsidRPr="00000000">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Equipo Desarrollador</w:t>
      </w:r>
      <w:r w:rsidDel="00000000" w:rsidR="00000000" w:rsidRPr="00000000">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Equipo de Partners: </w:t>
      </w:r>
      <w:r w:rsidDel="00000000" w:rsidR="00000000" w:rsidRPr="00000000">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Docente / Supervisora</w:t>
      </w:r>
      <w:r w:rsidDel="00000000" w:rsidR="00000000" w:rsidRPr="00000000">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Cliente / Entrevistado</w:t>
      </w:r>
      <w:r w:rsidDel="00000000" w:rsidR="00000000" w:rsidRPr="00000000">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sidDel="00000000" w:rsidR="00000000" w:rsidRPr="00000000">
        <w:rPr>
          <w:rFonts w:ascii="Questrial" w:cs="Questrial" w:eastAsia="Questrial" w:hAnsi="Questrial"/>
          <w:rtl w:val="0"/>
        </w:rPr>
        <w:t>2.4. Definición, acrónimos y abreviaturas</w:t>
      </w:r>
      <w:commentRangeEnd w:id="2"/>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2.5. </w:t>
      </w:r>
      <w:sdt>
        <w:sdtPr>
          <w:id w:val="-739768586"/>
          <w:tag w:val="goog_rdk_3"/>
        </w:sdtPr>
        <w:sdtContent>
          <w:commentRangeStart w:id="3"/>
        </w:sdtContent>
      </w:sdt>
      <w:r w:rsidDel="00000000" w:rsidR="00000000" w:rsidRPr="00000000">
        <w:rPr>
          <w:rFonts w:ascii="Questrial" w:cs="Questrial" w:eastAsia="Questrial" w:hAnsi="Questrial"/>
          <w:rtl w:val="0"/>
        </w:rPr>
        <w:t>Referencias</w:t>
      </w:r>
      <w:commentRangeEnd w:id="3"/>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sidDel="00000000" w:rsidR="00000000" w:rsidRPr="00000000">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sidDel="00000000" w:rsidR="00000000" w:rsidRPr="00000000">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Universidad Tecnológica Nacional, Facultad Regional Tucumán. (2012). </w:t>
      </w:r>
      <w:r w:rsidDel="00000000" w:rsidR="00000000" w:rsidRPr="00000000">
        <w:rPr>
          <w:rFonts w:ascii="IBM Plex Sans" w:cs="IBM Plex Sans" w:eastAsia="IBM Plex Sans" w:hAnsi="IBM Plex Sans"/>
          <w:b w:val="1"/>
          <w:bCs w:val="1"/>
          <w:i/>
          <w:color w:val="16304F"/>
          <w:rtl w:val="0"/>
        </w:rPr>
        <w:t>Buenas prácticas en proyectos informáticos</w:t>
      </w:r>
      <w:r w:rsidDel="00000000" w:rsidR="00000000" w:rsidRPr="00000000">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Panasonic Corporation. (2019). </w:t>
      </w:r>
      <w:r w:rsidDel="00000000" w:rsidR="00000000" w:rsidRPr="00000000">
        <w:rPr>
          <w:rFonts w:ascii="IBM Plex Sans" w:cs="IBM Plex Sans" w:eastAsia="IBM Plex Sans" w:hAnsi="IBM Plex Sans"/>
          <w:b w:val="1"/>
          <w:bCs w:val="1"/>
          <w:i/>
          <w:color w:val="16304F"/>
          <w:rtl w:val="0"/>
        </w:rPr>
        <w:t>AQY212GH: PhotoMOS relay, general purpose 60 V, 1 A</w:t>
      </w:r>
      <w:r w:rsidDel="00000000" w:rsidR="00000000" w:rsidRPr="00000000">
        <w:rPr>
          <w:rFonts w:ascii="IBM Plex Sans" w:cs="IBM Plex Sans" w:eastAsia="IBM Plex Sans" w:hAnsi="IBM Plex Sans"/>
          <w:b w:val="1"/>
          <w:bCs w:val="1"/>
          <w:i w:val="0"/>
          <w:color w:val="16304F"/>
          <w:rtl w:val="0"/>
        </w:rPr>
        <w:t xml:space="preserve"> [Hoja de datos]. Panasonic Industrial Devices. https://industrial.panasonic.com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Omron Corporation. (2020). </w:t>
      </w:r>
      <w:r w:rsidDel="00000000" w:rsidR="00000000" w:rsidRPr="00000000">
        <w:rPr>
          <w:rFonts w:ascii="IBM Plex Sans" w:cs="IBM Plex Sans" w:eastAsia="IBM Plex Sans" w:hAnsi="IBM Plex Sans"/>
          <w:b w:val="1"/>
          <w:bCs w:val="1"/>
          <w:i/>
          <w:color w:val="16304F"/>
          <w:rtl w:val="0"/>
        </w:rPr>
        <w:t>Solid state relays: technical guide</w:t>
      </w:r>
      <w:r w:rsidDel="00000000" w:rsidR="00000000" w:rsidRPr="00000000">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Espressif Systems. (2023). </w:t>
      </w:r>
      <w:r w:rsidDel="00000000" w:rsidR="00000000" w:rsidRPr="00000000">
        <w:rPr>
          <w:rFonts w:ascii="IBM Plex Sans" w:cs="IBM Plex Sans" w:eastAsia="IBM Plex Sans" w:hAnsi="IBM Plex Sans"/>
          <w:b w:val="1"/>
          <w:bCs w:val="1"/>
          <w:i/>
          <w:color w:val="16304F"/>
          <w:rtl w:val="0"/>
        </w:rPr>
        <w:t>ESP32 series datasheet (versión 4.3)</w:t>
      </w:r>
      <w:r w:rsidDel="00000000" w:rsidR="00000000" w:rsidRPr="00000000">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World Wide Web Consortium. (2021). </w:t>
      </w:r>
      <w:r w:rsidDel="00000000" w:rsidR="00000000" w:rsidRPr="00000000">
        <w:rPr>
          <w:rFonts w:ascii="IBM Plex Sans" w:cs="IBM Plex Sans" w:eastAsia="IBM Plex Sans" w:hAnsi="IBM Plex Sans"/>
          <w:b w:val="1"/>
          <w:bCs w:val="1"/>
          <w:i/>
          <w:color w:val="16304F"/>
          <w:rtl w:val="0"/>
        </w:rPr>
        <w:t>Web Authentication: An API for accessing public key credentials, Level 2</w:t>
      </w:r>
      <w:r w:rsidDel="00000000" w:rsidR="00000000" w:rsidRPr="00000000">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Vamatex S.p.A. (1989). </w:t>
      </w:r>
      <w:r w:rsidDel="00000000" w:rsidR="00000000" w:rsidRPr="00000000">
        <w:rPr>
          <w:rFonts w:ascii="IBM Plex Sans" w:cs="IBM Plex Sans" w:eastAsia="IBM Plex Sans" w:hAnsi="IBM Plex Sans"/>
          <w:b w:val="1"/>
          <w:bCs w:val="1"/>
          <w:i/>
          <w:color w:val="16304F"/>
          <w:rtl w:val="0"/>
        </w:rPr>
        <w:t>Telaio C 201: manuale di uso e manutenzione</w:t>
      </w:r>
      <w:r w:rsidDel="00000000" w:rsidR="00000000" w:rsidRPr="00000000">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Poder Legislativo de la Nación Argentina. (1972). </w:t>
      </w:r>
      <w:r w:rsidDel="00000000" w:rsidR="00000000" w:rsidRPr="00000000">
        <w:rPr>
          <w:rFonts w:ascii="IBM Plex Sans" w:cs="IBM Plex Sans" w:eastAsia="IBM Plex Sans" w:hAnsi="IBM Plex Sans"/>
          <w:b w:val="1"/>
          <w:bCs w:val="1"/>
          <w:i/>
          <w:color w:val="16304F"/>
          <w:rtl w:val="0"/>
        </w:rPr>
        <w:t>Ley N.º 19.587 de Higiene y Seguridad en el Trabajo</w:t>
      </w:r>
      <w:r w:rsidDel="00000000" w:rsidR="00000000" w:rsidRPr="00000000">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 Funcionalidad del producto y sistemas de diseño (ui/ux)</w:t>
      </w:r>
      <w:r w:rsidDel="00000000" w:rsidR="00000000" w:rsidRPr="00000000">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sidDel="00000000" w:rsidR="00000000" w:rsidRPr="00000000">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Inicio (Dashboard Central): </w:t>
      </w:r>
      <w:r w:rsidDel="00000000" w:rsidR="00000000" w:rsidRPr="00000000">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sidDel="00000000" w:rsidR="00000000" w:rsidRPr="00000000">
        <w:rPr>
          <w:rFonts w:ascii="IBM Plex Sans" w:cs="IBM Plex Sans" w:eastAsia="IBM Plex Sans" w:hAnsi="IBM Plex Sans"/>
          <w:i w:val="1"/>
          <w:iCs w:val="1"/>
          <w:color w:val="000000"/>
          <w:rtl w:val="0"/>
        </w:rPr>
        <w:t>feedback</w:t>
      </w:r>
      <w:r w:rsidDel="00000000" w:rsidR="00000000" w:rsidRPr="00000000">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sidDel="00000000" w:rsidR="00000000" w:rsidRPr="00000000">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Editor de Matrices: </w:t>
      </w:r>
      <w:r w:rsidDel="00000000" w:rsidR="00000000" w:rsidRPr="00000000">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sidDel="00000000" w:rsidR="00000000" w:rsidRPr="00000000">
        <w:rPr>
          <w:rFonts w:ascii="IBM Plex Sans" w:cs="IBM Plex Sans" w:eastAsia="IBM Plex Sans" w:hAnsi="IBM Plex Sans"/>
          <w:i w:val="1"/>
          <w:iCs w:val="1"/>
          <w:color w:val="000000"/>
          <w:rtl w:val="0"/>
        </w:rPr>
        <w:t>inputs</w:t>
      </w:r>
      <w:r w:rsidDel="00000000" w:rsidR="00000000" w:rsidRPr="00000000">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sidDel="00000000" w:rsidR="00000000" w:rsidRPr="00000000">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sidDel="00000000" w:rsidR="00000000" w:rsidRPr="00000000">
        <w:rPr>
          <w:rFonts w:ascii="IBM Plex Sans" w:cs="IBM Plex Sans" w:eastAsia="IBM Plex Sans" w:hAnsi="IBM Plex Sans"/>
          <w:b w:val="1"/>
          <w:bCs w:val="1"/>
          <w:color w:val="000000"/>
          <w:rtl w:val="0"/>
        </w:rPr>
        <w:t>Biblioteca de Matrices (Gestión CRUD):</w:t>
      </w:r>
      <w:r w:rsidDel="00000000" w:rsidR="00000000" w:rsidRPr="00000000">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sidDel="00000000" w:rsidR="00000000" w:rsidRPr="00000000">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sidDel="00000000" w:rsidR="00000000" w:rsidRPr="00000000">
        <w:rPr>
          <w:rFonts w:ascii="IBM Plex Sans" w:cs="IBM Plex Sans" w:eastAsia="IBM Plex Sans" w:hAnsi="IBM Plex Sans"/>
          <w:b w:val="1"/>
          <w:bCs w:val="1"/>
          <w:color w:val="000000"/>
          <w:rtl w:val="0"/>
        </w:rPr>
        <w:t xml:space="preserve">Paleta Cromática: </w:t>
      </w:r>
      <w:r w:rsidDel="00000000" w:rsidR="00000000" w:rsidRPr="00000000">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sidDel="00000000" w:rsidR="00000000" w:rsidRPr="00000000">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Tipografía y Legibilidad: </w:t>
      </w:r>
      <w:r w:rsidDel="00000000" w:rsidR="00000000" w:rsidRPr="00000000">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sidDel="00000000" w:rsidR="00000000" w:rsidRPr="00000000">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sidDel="00000000" w:rsidR="00000000" w:rsidRPr="00000000">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sidDel="00000000" w:rsidR="00000000" w:rsidRPr="00000000">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sidDel="00000000" w:rsidR="00000000" w:rsidRPr="00000000">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sidDel="00000000" w:rsidR="00000000" w:rsidRPr="00000000">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3.2.3. </w:t>
      </w:r>
      <w:sdt>
        <w:sdtPr>
          <w:id w:val="-793607245"/>
          <w:tag w:val="goog_rdk_7"/>
        </w:sdtPr>
        <w:sdtContent>
          <w:commentRangeStart w:id="4"/>
        </w:sdtContent>
      </w:sdt>
      <w:r w:rsidDel="00000000" w:rsidR="00000000" w:rsidRPr="00000000">
        <w:rPr>
          <w:rFonts w:ascii="Questrial" w:cs="Questrial" w:eastAsia="Questrial" w:hAnsi="Questrial"/>
          <w:rtl w:val="0"/>
        </w:rPr>
        <w:t>Esquema de Base de Datos y Estructura JSONB</w:t>
      </w:r>
      <w:commentRangeEnd w:id="4"/>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415977"/>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415977"/>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sidDel="00000000" w:rsidR="00000000" w:rsidRPr="00000000">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726597"/>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726597"/>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registro_de_errores, con sus claves foráneas.</w:t>
      </w:r>
    </w:p>
    <w:p>
      <w:pPr>
        <w:jc w:val="center"/>
      </w:pPr>
      <w:r>
        <w:drawing>
          <wp:inline>
            <wp:extent cx="5303520" cy="5759167"/>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5759167"/>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sidDel="00000000" w:rsidR="00000000" w:rsidRPr="00000000">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3.3. </w:t>
      </w:r>
      <w:sdt>
        <w:sdtPr>
          <w:id w:val="-1525466884"/>
          <w:tag w:val="goog_rdk_8"/>
        </w:sdtPr>
        <w:sdtContent>
          <w:commentRangeStart w:id="5"/>
        </w:sdtContent>
      </w:sdt>
      <w:r w:rsidDel="00000000" w:rsidR="00000000" w:rsidRPr="00000000">
        <w:rPr>
          <w:rFonts w:ascii="Questrial" w:cs="Questrial" w:eastAsia="Questrial" w:hAnsi="Questrial"/>
          <w:rtl w:val="0"/>
        </w:rPr>
        <w:t>Características de los Usuarios</w:t>
      </w:r>
      <w:commentRangeEnd w:id="5"/>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sidDel="00000000" w:rsidR="00000000" w:rsidRPr="00000000">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sidDel="00000000" w:rsidR="00000000" w:rsidRPr="00000000">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sidDel="00000000" w:rsidR="00000000" w:rsidRPr="00000000">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sidDel="00000000" w:rsidR="00000000" w:rsidRPr="00000000">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sidDel="00000000" w:rsidR="00000000" w:rsidRPr="00000000">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sidDel="00000000" w:rsidR="00000000" w:rsidRPr="00000000">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sidDel="00000000" w:rsidR="00000000" w:rsidRPr="00000000">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3.4.8. </w:t>
      </w:r>
      <w:sdt>
        <w:sdtPr>
          <w:id w:val="361606423"/>
          <w:tag w:val="goog_rdk_9"/>
        </w:sdtPr>
        <w:sdtContent>
          <w:commentRangeStart w:id="6"/>
        </w:sdtContent>
      </w:sdt>
      <w:r w:rsidDel="00000000" w:rsidR="00000000" w:rsidRPr="00000000">
        <w:rPr>
          <w:rFonts w:ascii="Questrial" w:cs="Questrial" w:eastAsia="Questrial" w:hAnsi="Questrial"/>
          <w:rtl w:val="0"/>
        </w:rPr>
        <w:t>Consideraciones de seguridad: Inmunidad crítica ambiental</w:t>
      </w:r>
      <w:commentRangeEnd w:id="6"/>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sidDel="00000000" w:rsidR="00000000" w:rsidRPr="00000000">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Aislamiento Eléctrico:</w:t>
      </w:r>
      <w:r w:rsidDel="00000000" w:rsidR="00000000" w:rsidRPr="00000000">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sidDel="00000000" w:rsidR="00000000" w:rsidRPr="00000000">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Infraestructura eléctrica:</w:t>
      </w:r>
      <w:r w:rsidDel="00000000" w:rsidR="00000000" w:rsidRPr="00000000">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Integración técnica:</w:t>
      </w:r>
      <w:r w:rsidDel="00000000" w:rsidR="00000000" w:rsidRPr="00000000">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sidDel="00000000" w:rsidR="00000000" w:rsidRPr="00000000">
        <w:rPr>
          <w:rFonts w:ascii="IBM Plex Sans" w:cs="IBM Plex Sans" w:eastAsia="IBM Plex Sans" w:hAnsi="IBM Plex Sans"/>
          <w:b w:val="1"/>
          <w:bCs w:val="1"/>
          <w:rtl w:val="0"/>
        </w:rPr>
        <w:t>Información operativa:</w:t>
      </w:r>
      <w:r w:rsidDel="00000000" w:rsidR="00000000" w:rsidRPr="00000000">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sidDel="00000000" w:rsidR="00000000" w:rsidRPr="00000000">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sidDel="00000000" w:rsidR="00000000" w:rsidRPr="00000000">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sidDel="00000000" w:rsidR="00000000" w:rsidRPr="00000000">
        <w:rPr>
          <w:rFonts w:ascii="Questrial" w:cs="Questrial" w:eastAsia="Questrial" w:hAnsi="Questrial"/>
          <w:rtl w:val="0"/>
        </w:rPr>
        <w:t>4.1. Requerimientos funcionales</w:t>
      </w:r>
      <w:commentRangeEnd w:id="7"/>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4.2. </w:t>
      </w:r>
      <w:sdt>
        <w:sdtPr>
          <w:id w:val="1345811660"/>
          <w:tag w:val="goog_rdk_12"/>
        </w:sdtPr>
        <w:sdtContent>
          <w:commentRangeStart w:id="9"/>
        </w:sdtContent>
      </w:sdt>
      <w:r w:rsidDel="00000000" w:rsidR="00000000" w:rsidRPr="00000000">
        <w:rPr>
          <w:rFonts w:ascii="Questrial" w:cs="Questrial" w:eastAsia="Questrial" w:hAnsi="Questrial"/>
          <w:rtl w:val="0"/>
        </w:rPr>
        <w:t>Requerimentos No Funcionales (RNF)</w:t>
      </w:r>
      <w:commentRangeEnd w:id="9"/>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sidDel="00000000" w:rsidR="00000000" w:rsidRPr="00000000">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sidDel="00000000" w:rsidR="00000000" w:rsidRPr="00000000">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Dashboard de Inicio (Supervisión en Tiempo Real):</w:t>
      </w:r>
      <w:r w:rsidDel="00000000" w:rsidR="00000000" w:rsidRPr="00000000">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Editor Matricial de Ligamentos: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Biblioteca CRUD de Ligamentos (Gestión de Archivos):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r>
      <w:commentRangeEnd w:id="10"/>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rsidDel="00000000" w:rsidR="00000000" w:rsidRPr="00000000">
        <w:commentReference w:id="10"/>
      </w:r>
      <w:r w:rsidDel="00000000" w:rsidR="00000000" w:rsidRPr="00000000">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7. Biblioteca de dibujos: listado de los dibujos guardados, con búsqueda y filtros.</w:t>
      </w:r>
    </w:p>
    <w:p>
      <w:pPr>
        <w:jc w:val="center"/>
      </w:pPr>
      <w:r>
        <w:rPr>
          <w:rFonts w:ascii="IBM Plex Sans" w:hAnsi="IBM Plex Sans" w:cs="IBM Plex Sans" w:eastAsia="IBM Plex Sans"/>
          <w:i/>
          <w:color w:val="606060"/>
          <w:sz w:val="18"/>
        </w:rPr>
        <w:t>Figura 8. Editor de dibujo: cada fila representa una pasada del telar y cada columna un elemento de selección.</w:t>
      </w:r>
    </w:p>
    <w:p>
      <w:pPr>
        <w:jc w:val="center"/>
      </w:pPr>
      <w:r>
        <w:rPr>
          <w:rFonts w:ascii="IBM Plex Sans" w:hAnsi="IBM Plex Sans" w:cs="IBM Plex Sans" w:eastAsia="IBM Plex Sans"/>
          <w:i/>
          <w:color w:val="606060"/>
          <w:sz w:val="18"/>
        </w:rPr>
        <w:t>Figura 9.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sidDel="00000000" w:rsidR="00000000" w:rsidRPr="00000000">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sidDel="00000000" w:rsidR="00000000" w:rsidRPr="00000000">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1 (Entorno de Maquinaria 24V AC): </w:t>
      </w:r>
      <w:r w:rsidDel="00000000" w:rsidR="00000000" w:rsidRPr="00000000">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sidDel="00000000" w:rsidR="00000000" w:rsidRPr="00000000">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2 (Alimentación y Protección de Entrada): </w:t>
      </w:r>
      <w:r w:rsidDel="00000000" w:rsidR="00000000" w:rsidRPr="00000000">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sidDel="00000000" w:rsidR="00000000" w:rsidRPr="00000000">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sidDel="00000000" w:rsidR="00000000" w:rsidRPr="00000000">
        <w:rPr>
          <w:rFonts w:ascii="IBM Plex Sans" w:cs="IBM Plex Sans" w:eastAsia="IBM Plex Sans" w:hAnsi="IBM Plex Sans"/>
          <w:rtl w:val="0"/>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4 (Alimentación Regulada): </w:t>
      </w:r>
      <w:r w:rsidDel="00000000" w:rsidR="00000000" w:rsidRPr="00000000">
        <w:rPr>
          <w:rFonts w:ascii="IBM Plex Sans" w:cs="IBM Plex Sans" w:eastAsia="IBM Plex Sans" w:hAnsi="IBM Plex Sans"/>
          <w:rtl w:val="0"/>
        </w:rPr>
        <w:t>Módulo de fuente conmutada HLK-5M05 (220V AC a 5V DC, 1A), independiente del telar y montado dentro del gabinete IP65.</w:t>
      </w:r>
      <w:r w:rsidDel="00000000" w:rsidR="00000000" w:rsidRPr="00000000">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5 (Buses de Control): </w:t>
      </w:r>
      <w:r w:rsidDel="00000000" w:rsidR="00000000" w:rsidRPr="00000000">
        <w:rPr>
          <w:rFonts w:ascii="IBM Plex Sans" w:cs="IBM Plex Sans" w:eastAsia="IBM Plex Sans" w:hAnsi="IBM Plex Sans"/>
          <w:rtl w:val="0"/>
        </w:rPr>
        <w:t>Buses de comunicación y señales lógicas conectadas directamente a los Pines GPIO del microcontrolador.</w:t>
      </w:r>
      <w:r w:rsidDel="00000000" w:rsidR="00000000" w:rsidRPr="00000000">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sidDel="00000000" w:rsidR="00000000" w:rsidRPr="00000000">
        <w:rPr>
          <w:rFonts w:ascii="IBM Plex Sans" w:cs="IBM Plex Sans" w:eastAsia="IBM Plex Sans" w:hAnsi="IBM Plex Sans"/>
          <w:b w:val="1"/>
          <w:bCs w:val="1"/>
          <w:rtl w:val="0"/>
        </w:rPr>
        <w:t xml:space="preserve">Paso 6 (Cerebro del Nodo): </w:t>
      </w:r>
      <w:r w:rsidDel="00000000" w:rsidR="00000000" w:rsidRPr="00000000">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11.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Aislamiento Galvánico por Optoacopladores (PC817):</w:t>
      </w:r>
      <w:r w:rsidDel="00000000" w:rsidR="00000000" w:rsidRPr="00000000">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Soporta tensiones de aislamiento de hasta 5000V</w:t>
      </w:r>
      <w:r w:rsidDel="00000000" w:rsidR="00000000" w:rsidRPr="00000000">
        <w:rPr>
          <w:rFonts w:ascii="IBM Plex Sans" w:cs="IBM Plex Sans" w:eastAsia="IBM Plex Sans" w:hAnsi="IBM Plex Sans"/>
          <w:vertAlign w:val="subscript"/>
          <w:rtl w:val="0"/>
        </w:rPr>
        <w:t>RMS</w:t>
      </w:r>
      <w:r w:rsidDel="00000000" w:rsidR="00000000" w:rsidRPr="00000000">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Inmunidad a Interferencia Electromagnética (EMI):</w:t>
      </w:r>
      <w:r w:rsidDel="00000000" w:rsidR="00000000" w:rsidRPr="00000000">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Uso de filtros LC pasivos en las líneas de alimentación del ESP32 y una referencia de masa única para todo el nodo, evitando bucles de masa (ground loops).</w:t>
      </w:r>
      <w:r w:rsidDel="00000000" w:rsidR="00000000" w:rsidRPr="00000000">
        <w:rPr>
          <w:rFonts w:ascii="IBM Plex Sans" w:cs="IBM Plex Sans" w:eastAsia="IBM Plex Sans" w:hAnsi="IBM Plex Sans"/>
          <w:i w:val="1"/>
          <w:i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sidDel="00000000" w:rsidR="00000000" w:rsidRPr="00000000">
        <w:rPr>
          <w:rFonts w:ascii="IBM Plex Sans" w:cs="IBM Plex Sans" w:eastAsia="IBM Plex Sans" w:hAnsi="IBM Plex Sans"/>
          <w:b w:val="1"/>
          <w:bCs w:val="1"/>
          <w:rtl w:val="0"/>
        </w:rPr>
        <w:t>Material del Gabinete:</w:t>
      </w:r>
      <w:r w:rsidDel="00000000" w:rsidR="00000000" w:rsidRPr="00000000">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Grado de Protección:</w:t>
      </w:r>
      <w:r w:rsidDel="00000000" w:rsidR="00000000" w:rsidRPr="00000000">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sidDel="00000000" w:rsidR="00000000" w:rsidRPr="00000000">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sidDel="00000000" w:rsidR="00000000" w:rsidRPr="00000000">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sidDel="00000000" w:rsidR="00000000" w:rsidRPr="00000000">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sidDel="00000000" w:rsidR="00000000" w:rsidRPr="00000000">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sidDel="00000000" w:rsidR="00000000" w:rsidRPr="00000000">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sidDel="00000000" w:rsidR="00000000" w:rsidRPr="00000000">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4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6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sidDel="00000000" w:rsidR="00000000" w:rsidRPr="00000000">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sidDel="00000000" w:rsidR="00000000" w:rsidRPr="00000000">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12.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sidDel="00000000" w:rsidR="00000000" w:rsidRPr="00000000">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sidDel="00000000" w:rsidR="00000000" w:rsidRPr="00000000">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sidDel="00000000" w:rsidR="00000000" w:rsidRPr="00000000">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PB-1.1 Layout Principal (HTML/CSS): </w:t>
      </w:r>
      <w:r w:rsidDel="00000000" w:rsidR="00000000" w:rsidRPr="00000000">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PB-1.2 Explorador de Matrices: </w:t>
      </w:r>
      <w:r w:rsidDel="00000000" w:rsidR="00000000" w:rsidRPr="00000000">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PB-1.3 Limpieza de Interfaz: </w:t>
      </w:r>
      <w:r w:rsidDel="00000000" w:rsidR="00000000" w:rsidRPr="00000000">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sidDel="00000000" w:rsidR="00000000" w:rsidRPr="00000000">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PB-2.1 Grilla Interactiva Base: </w:t>
      </w:r>
      <w:r w:rsidDel="00000000" w:rsidR="00000000" w:rsidRPr="00000000">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PB-2.2 Ajuste de Dimensiones: </w:t>
      </w:r>
      <w:r w:rsidDel="00000000" w:rsidR="00000000" w:rsidRPr="00000000">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PB-2.3 Empaquetador de Datos (JS): </w:t>
      </w:r>
      <w:r w:rsidDel="00000000" w:rsidR="00000000" w:rsidRPr="00000000">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PB-2.4 Herramientas de Agilidad: </w:t>
      </w:r>
      <w:r w:rsidDel="00000000" w:rsidR="00000000" w:rsidRPr="00000000">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sidDel="00000000" w:rsidR="00000000" w:rsidRPr="00000000">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PB-3.1 Guardado de Nuevo Patrón (Create): </w:t>
      </w:r>
      <w:r w:rsidDel="00000000" w:rsidR="00000000" w:rsidRPr="00000000">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PB-3.2 Lectura de Matrices (Read): </w:t>
      </w:r>
      <w:r w:rsidDel="00000000" w:rsidR="00000000" w:rsidRPr="00000000">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PB-3.3 Edición y Sobrescritura (Update): </w:t>
      </w:r>
      <w:r w:rsidDel="00000000" w:rsidR="00000000" w:rsidRPr="00000000">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PB-3.4 Eliminación Segura (Delete): </w:t>
      </w:r>
      <w:r w:rsidDel="00000000" w:rsidR="00000000" w:rsidRPr="00000000">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sidDel="00000000" w:rsidR="00000000" w:rsidRPr="00000000">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sidDel="00000000" w:rsidR="00000000" w:rsidRPr="00000000">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PB-4.2 Feedback Visual en Vivo: </w:t>
      </w:r>
      <w:r w:rsidDel="00000000" w:rsidR="00000000" w:rsidRPr="00000000">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PB-4.3 Función “Volver Atrás”: </w:t>
      </w:r>
      <w:r w:rsidDel="00000000" w:rsidR="00000000" w:rsidRPr="00000000">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PB-4.4 Reanudación Segura: </w:t>
      </w:r>
      <w:r w:rsidDel="00000000" w:rsidR="00000000" w:rsidRPr="00000000">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sidDel="00000000" w:rsidR="00000000" w:rsidRPr="00000000">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13.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GitHub:</w:t>
      </w:r>
      <w:r w:rsidDel="00000000" w:rsidR="00000000" w:rsidRPr="00000000">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Plantilla Obligatoria de Minutas</w:t>
      </w:r>
      <w:r w:rsidDel="00000000" w:rsidR="00000000" w:rsidRPr="00000000">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sidDel="00000000" w:rsidR="00000000" w:rsidRPr="00000000">
        <w:rPr>
          <w:rFonts w:ascii="IBM Plex Sans" w:cs="IBM Plex Sans" w:eastAsia="IBM Plex Sans" w:hAnsi="IBM Plex Sans"/>
          <w:i w:val="1"/>
          <w:iCs w:val="1"/>
          <w:rtl w:val="0"/>
        </w:rPr>
        <w:t>retrofit</w:t>
      </w:r>
      <w:r w:rsidDel="00000000" w:rsidR="00000000" w:rsidRPr="00000000">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sidDel="00000000" w:rsidR="00000000" w:rsidRPr="00000000">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sidDel="00000000" w:rsidR="00000000" w:rsidRPr="00000000">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Distribución de Componentes Integrados</w:t>
      </w:r>
      <w:r w:rsidDel="00000000" w:rsidR="00000000" w:rsidRPr="00000000">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sidDel="00000000" w:rsidR="00000000" w:rsidRPr="00000000">
        <w:rPr>
          <w:rFonts w:ascii="IBM Plex Sans" w:cs="IBM Plex Sans" w:eastAsia="IBM Plex Sans" w:hAnsi="IBM Plex Sans"/>
          <w:i w:val="1"/>
          <w:iCs w:val="1"/>
          <w:rtl w:val="0"/>
        </w:rPr>
        <w:t>Conformal Coating</w:t>
      </w:r>
      <w:r w:rsidDel="00000000" w:rsidR="00000000" w:rsidRPr="00000000">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14.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Los componentes efectivamente adquiridos para el Bloque A suman $73.653, a los que se agregan $13.950 del Bloque C y $25.200 del Bloque D, totalizando $112.803 en materiales. Sumando los gastos operativos de $109.675 y el valor del trabajo del equipo, valuado en $24.527.996 según las tarifas del proyecto, el costo total asciende a $24.750.474. Aplicando el margen del 25 % previsto, el presupuesto final es de $30.938.092, con una ganancia proyectada de $6.187.618.</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sidDel="00000000" w:rsidR="00000000" w:rsidRPr="00000000">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sidDel="00000000" w:rsidR="00000000" w:rsidRPr="00000000">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sidDel="00000000" w:rsidR="00000000" w:rsidRPr="00000000">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sidDel="00000000" w:rsidR="00000000" w:rsidRPr="00000000">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4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sidDel="00000000" w:rsidR="00000000" w:rsidRPr="00000000">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$25.200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pPr>
              <w:jc w:val="both"/>
            </w:pPr>
            <w:r/>
            <w:r>
              <w:rPr>
                <w:rFonts w:ascii="IBM Plex Sans" w:hAnsi="IBM Plex Sans"/>
                <w:sz w:val="17"/>
              </w:rPr>
              <w:t>$112.803</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sidDel="00000000" w:rsidR="00000000" w:rsidRPr="00000000">
        <w:rPr>
          <w:rFonts w:ascii="IBM Plex Sans" w:hAnsi="IBM Plex Sans" w:cs="IBM Plex Sans" w:eastAsia="IBM Plex Sans"/>
        </w:rPr>
        <w:t>La estructura de costos muestra que el 99,2 % corresponde al trabajo del equipo y solo el 0,8 % ($71.150)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sidDel="00000000" w:rsidR="00000000" w:rsidRPr="00000000">
        <w:rPr>
          <w:rFonts w:ascii="IBM Plex Sans" w:cs="IBM Plex Sans" w:eastAsia="IBM Plex Sans" w:hAnsi="IBM Plex Sans"/>
          <w:b w:val="1"/>
          <w:b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sidDel="00000000" w:rsidR="00000000" w:rsidRPr="00000000">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sidDel="00000000" w:rsidR="00000000" w:rsidRPr="00000000">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sidDel="00000000" w:rsidR="00000000" w:rsidRPr="00000000">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del nodo por máquina: </w:t>
      </w:r>
      <w:r w:rsidDel="00000000" w:rsidR="00000000" w:rsidRPr="00000000">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Vista de fábrica consolidada: </w:t>
      </w:r>
      <w:r w:rsidDel="00000000" w:rsidR="00000000" w:rsidRPr="00000000">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sidDel="00000000" w:rsidR="00000000" w:rsidRPr="00000000">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Reportes de producción: </w:t>
      </w:r>
      <w:r w:rsidDel="00000000" w:rsidR="00000000" w:rsidRPr="00000000">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Alertas de mantenimiento: </w:t>
      </w:r>
      <w:r w:rsidDel="00000000" w:rsidR="00000000" w:rsidRPr="00000000">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sidDel="00000000" w:rsidR="00000000" w:rsidRPr="00000000">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Soporte y mantenimiento del sistema: </w:t>
      </w:r>
      <w:r w:rsidDel="00000000" w:rsidR="00000000" w:rsidRPr="00000000">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en otras fábricas textiles: </w:t>
      </w:r>
      <w:r w:rsidDel="00000000" w:rsidR="00000000" w:rsidRPr="00000000">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sidDel="00000000" w:rsidR="00000000" w:rsidRPr="00000000">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Del Equipo de Desarrollo: </w:t>
      </w:r>
      <w:r w:rsidDel="00000000" w:rsidR="00000000" w:rsidRPr="00000000">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Del Cliente</w:t>
      </w:r>
      <w:r w:rsidDel="00000000" w:rsidR="00000000" w:rsidRPr="00000000">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